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ze-20260630.htm"/>
      <w:bookmarkStart w:id="1" w:name="ksmaze20260630"/>
      <w:bookmarkEnd w:id="0"/>
      <w:bookmarkEnd w:id="1"/>
      <w:r>
        <w:rPr/>
        <w:t> </w:t>
      </w:r>
    </w:p>
    <w:p>
      <w:pPr>
        <w:pStyle w:val="TextBody"/>
        <w:pBdr>
          <w:top w:val="double" w:sz="6" w:space="1" w:color="000000"/>
        </w:pBdr>
        <w:bidi w:val="0"/>
        <w:jc w:val="center"/>
        <w:rPr/>
      </w:pPr>
      <w:bookmarkStart w:id="2" w:name="page1"/>
      <w:bookmarkEnd w:id="2"/>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001-42490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MAZE THERAPEUTICS, INC.</w:t>
      </w:r>
    </w:p>
    <w:p>
      <w:pPr>
        <w:pStyle w:val="TextBody"/>
        <w:bidi w:val="0"/>
        <w:jc w:val="center"/>
        <w:rPr>
          <w:rFonts w:ascii="Times New Roman" w:hAnsi="Times New Roman"/>
          <w:i/>
          <w:color w:val="000000"/>
          <w:sz w:val="18"/>
        </w:rPr>
      </w:pPr>
      <w:r>
        <w:rPr>
          <w:rFonts w:ascii="Times New Roman" w:hAnsi="Times New Roman"/>
          <w:i/>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6058" w:type="dxa"/>
        <w:jc w:val="left"/>
        <w:tblInd w:w="0" w:type="dxa"/>
        <w:tblLayout w:type="fixed"/>
        <w:tblCellMar>
          <w:top w:w="28" w:type="dxa"/>
          <w:left w:w="28" w:type="dxa"/>
          <w:bottom w:w="28" w:type="dxa"/>
          <w:right w:w="28" w:type="dxa"/>
        </w:tblCellMar>
      </w:tblPr>
      <w:tblGrid>
        <w:gridCol w:w="3751"/>
        <w:gridCol w:w="146"/>
        <w:gridCol w:w="216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82-2635018</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(I.R.S. Employer Identification No.)</w:t>
            </w:r>
          </w:p>
        </w:tc>
      </w:tr>
    </w:tbl>
    <w:p>
      <w:pPr>
        <w:pStyle w:val="TextBody"/>
        <w:bidi w:val="0"/>
        <w:jc w:val="left"/>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171 Oyster Point Blvd., Suite 300</w:t>
      </w:r>
    </w:p>
    <w:p>
      <w:pPr>
        <w:pStyle w:val="TextBody"/>
        <w:bidi w:val="0"/>
        <w:spacing w:before="60" w:after="283"/>
        <w:jc w:val="center"/>
        <w:rPr>
          <w:rFonts w:ascii="Times New Roman" w:hAnsi="Times New Roman"/>
          <w:sz w:val="20"/>
        </w:rPr>
      </w:pPr>
      <w:r>
        <w:rPr>
          <w:rFonts w:ascii="Times New Roman" w:hAnsi="Times New Roman"/>
          <w:b/>
          <w:color w:val="000000"/>
          <w:sz w:val="18"/>
        </w:rPr>
        <w:t>South San Francisco, California</w:t>
      </w:r>
      <w:r>
        <w:rPr>
          <w:rFonts w:ascii="Times New Roman" w:hAnsi="Times New Roman"/>
          <w:color w:val="000000"/>
          <w:sz w:val="20"/>
        </w:rPr>
        <w:t xml:space="preserve"> </w:t>
      </w:r>
      <w:r>
        <w:rPr>
          <w:rFonts w:ascii="Times New Roman" w:hAnsi="Times New Roman"/>
          <w:b/>
          <w:color w:val="000000"/>
          <w:sz w:val="18"/>
        </w:rPr>
        <w:t>94080</w:t>
      </w:r>
    </w:p>
    <w:p>
      <w:pPr>
        <w:pStyle w:val="TextBody"/>
        <w:bidi w:val="0"/>
        <w:spacing w:before="60" w:after="283"/>
        <w:jc w:val="center"/>
        <w:rPr>
          <w:rFonts w:ascii="Times New Roman" w:hAnsi="Times New Roman"/>
          <w:i/>
          <w:color w:val="000000"/>
          <w:sz w:val="14"/>
        </w:rPr>
      </w:pPr>
      <w:r>
        <w:rPr>
          <w:rFonts w:ascii="Times New Roman" w:hAnsi="Times New Roman"/>
          <w:i/>
          <w:color w:val="000000"/>
          <w:sz w:val="14"/>
        </w:rPr>
        <w:t>(Address of principal executive offices, including zip code)</w:t>
      </w:r>
    </w:p>
    <w:p>
      <w:pPr>
        <w:pStyle w:val="TextBody"/>
        <w:bidi w:val="0"/>
        <w:spacing w:before="60" w:after="283"/>
        <w:jc w:val="center"/>
        <w:rPr>
          <w:rFonts w:ascii="Times New Roman" w:hAnsi="Times New Roman"/>
          <w:sz w:val="20"/>
        </w:rPr>
      </w:pPr>
      <w:r>
        <w:rPr>
          <w:rFonts w:ascii="Times New Roman" w:hAnsi="Times New Roman"/>
          <w:b/>
          <w:color w:val="000000"/>
          <w:sz w:val="18"/>
        </w:rPr>
        <w:t>(650)</w:t>
      </w:r>
      <w:r>
        <w:rPr>
          <w:rFonts w:ascii="Times New Roman" w:hAnsi="Times New Roman"/>
          <w:color w:val="000000"/>
          <w:sz w:val="20"/>
        </w:rPr>
        <w:t xml:space="preserve"> </w:t>
      </w:r>
      <w:r>
        <w:rPr>
          <w:rFonts w:ascii="Times New Roman" w:hAnsi="Times New Roman"/>
          <w:b/>
          <w:color w:val="000000"/>
          <w:sz w:val="18"/>
        </w:rPr>
        <w:t>850-5070</w:t>
      </w:r>
    </w:p>
    <w:p>
      <w:pPr>
        <w:pStyle w:val="TextBody"/>
        <w:bidi w:val="0"/>
        <w:spacing w:before="60" w:after="283"/>
        <w:jc w:val="center"/>
        <w:rPr>
          <w:rFonts w:ascii="Times New Roman" w:hAnsi="Times New Roman"/>
          <w:i/>
          <w:color w:val="000000"/>
          <w:sz w:val="14"/>
        </w:rPr>
      </w:pPr>
      <w:r>
        <w:rPr>
          <w:rFonts w:ascii="Times New Roman" w:hAnsi="Times New Roman"/>
          <w:i/>
          <w:color w:val="000000"/>
          <w:sz w:val="14"/>
        </w:rPr>
        <w:t>(Registrant's telephone number, including area code)</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050" w:type="dxa"/>
        <w:jc w:val="left"/>
        <w:tblInd w:w="0" w:type="dxa"/>
        <w:tblLayout w:type="fixed"/>
        <w:tblCellMar>
          <w:top w:w="28" w:type="dxa"/>
          <w:left w:w="28" w:type="dxa"/>
          <w:bottom w:w="28" w:type="dxa"/>
          <w:right w:w="28" w:type="dxa"/>
        </w:tblCellMar>
      </w:tblPr>
      <w:tblGrid>
        <w:gridCol w:w="3256"/>
        <w:gridCol w:w="146"/>
        <w:gridCol w:w="1246"/>
        <w:gridCol w:w="146"/>
        <w:gridCol w:w="325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i/>
                <w:color w:val="000000"/>
                <w:sz w:val="16"/>
              </w:rPr>
            </w:pPr>
            <w:r>
              <w:rPr>
                <w:rFonts w:ascii="Times New Roman" w:hAnsi="Times New Roman"/>
                <w:b/>
                <w:i/>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i/>
                <w:color w:val="000000"/>
                <w:sz w:val="16"/>
              </w:rPr>
            </w:pPr>
            <w:r>
              <w:rPr>
                <w:rFonts w:ascii="Times New Roman" w:hAnsi="Times New Roman"/>
                <w:b/>
                <w:i/>
                <w:color w:val="000000"/>
                <w:sz w:val="16"/>
              </w:rPr>
              <w:t>Trading Symbol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i/>
                <w:color w:val="000000"/>
                <w:sz w:val="16"/>
              </w:rPr>
            </w:pPr>
            <w:r>
              <w:rPr>
                <w:rFonts w:ascii="Times New Roman" w:hAnsi="Times New Roman"/>
                <w:b/>
                <w:i/>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MAZE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320" w:type="dxa"/>
        <w:jc w:val="left"/>
        <w:tblInd w:w="0" w:type="dxa"/>
        <w:tblLayout w:type="fixed"/>
        <w:tblCellMar>
          <w:top w:w="28" w:type="dxa"/>
          <w:left w:w="28" w:type="dxa"/>
          <w:bottom w:w="28" w:type="dxa"/>
          <w:right w:w="28" w:type="dxa"/>
        </w:tblCellMar>
      </w:tblPr>
      <w:tblGrid>
        <w:gridCol w:w="1756"/>
        <w:gridCol w:w="316"/>
        <w:gridCol w:w="146"/>
        <w:gridCol w:w="1741"/>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5"/>
              </w:rPr>
            </w:pPr>
            <w:r>
              <w:rPr>
                <w:rFonts w:ascii="Times New Roman" w:hAnsi="Times New Roman"/>
                <w:color w:val="000000"/>
                <w:sz w:val="15"/>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60" w:after="283"/>
              <w:jc w:val="left"/>
              <w:rPr/>
            </w:pPr>
            <w:r>
              <w:rPr/>
              <w:t> </w:t>
            </w:r>
          </w:p>
        </w:tc>
        <w:tc>
          <w:tcPr>
            <w:tcW w:w="361"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spacing w:before="60" w:after="283"/>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As of August 5, 2026, the registrant had 55,549,168</w:t>
      </w:r>
      <w:r>
        <w:rPr>
          <w:rFonts w:ascii="Times New Roman" w:hAnsi="Times New Roman"/>
          <w:color w:val="000000"/>
          <w:sz w:val="20"/>
        </w:rPr>
        <w:t xml:space="preserve"> </w:t>
      </w:r>
      <w:r>
        <w:rPr>
          <w:rFonts w:ascii="Times New Roman" w:hAnsi="Times New Roman"/>
          <w:color w:val="000000"/>
          <w:sz w:val="15"/>
        </w:rPr>
        <w:t>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124" w:type="dxa"/>
        <w:jc w:val="left"/>
        <w:tblInd w:w="0" w:type="dxa"/>
        <w:tblLayout w:type="fixed"/>
        <w:tblCellMar>
          <w:top w:w="28" w:type="dxa"/>
          <w:left w:w="28" w:type="dxa"/>
          <w:bottom w:w="28" w:type="dxa"/>
          <w:right w:w="28" w:type="dxa"/>
        </w:tblCellMar>
      </w:tblPr>
      <w:tblGrid>
        <w:gridCol w:w="841"/>
        <w:gridCol w:w="146"/>
        <w:gridCol w:w="8341"/>
        <w:gridCol w:w="79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Numbers</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Item 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condensed_statements_of_operations_and">
              <w:r>
                <w:rPr>
                  <w:rStyle w:val="InternetLink"/>
                  <w:rFonts w:ascii="Times New Roman" w:hAnsi="Times New Roman"/>
                  <w:color w:val="0000FF"/>
                  <w:sz w:val="20"/>
                  <w:u w:val="single"/>
                </w:rPr>
                <w:t>Condensed Statements of Operations and Comprehensive Loss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atements_of_convertible_pref">
              <w:r>
                <w:rPr>
                  <w:rStyle w:val="InternetLink"/>
                  <w:rFonts w:ascii="Times New Roman" w:hAnsi="Times New Roman"/>
                  <w:color w:val="0000FF"/>
                  <w:sz w:val="20"/>
                  <w:u w:val="single"/>
                </w:rPr>
                <w:t>Condensed Statements of Redeemable Convertible Preferred Stock and Stockholders’ Equity (Deficit)</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Statements of Cash Flows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_to_the_financial_statements">
              <w:r>
                <w:rPr>
                  <w:rStyle w:val="InternetLink"/>
                  <w:rFonts w:ascii="Times New Roman" w:hAnsi="Times New Roman"/>
                  <w:color w:val="0000FF"/>
                  <w:sz w:val="20"/>
                  <w:u w:val="single"/>
                </w:rPr>
                <w:t>Notes to Condensed Financial Statements</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d_analy">
              <w:r>
                <w:rPr>
                  <w:rStyle w:val="InternetLink"/>
                  <w:rFonts w:ascii="Times New Roman" w:hAnsi="Times New Roman"/>
                  <w:color w:val="0000FF"/>
                  <w:sz w:val="20"/>
                  <w:u w:val="single"/>
                </w:rPr>
                <w:t>Item 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d_analy">
              <w:r>
                <w:rPr>
                  <w:rStyle w:val="InternetLink"/>
                  <w:rFonts w:ascii="Times New Roman" w:hAnsi="Times New Roman"/>
                  <w:color w:val="0000FF"/>
                  <w:sz w:val="20"/>
                  <w:u w:val="single"/>
                </w:rPr>
                <w:t>Management's Discussion and Analysis of Financial Condition and Results of Operations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quantitative_and">
              <w:r>
                <w:rPr>
                  <w:rStyle w:val="InternetLink"/>
                  <w:rFonts w:ascii="Times New Roman" w:hAnsi="Times New Roman"/>
                  <w:color w:val="0000FF"/>
                  <w:sz w:val="20"/>
                  <w:u w:val="single"/>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quantitative_and">
              <w:r>
                <w:rPr>
                  <w:rStyle w:val="InternetLink"/>
                  <w:rFonts w:ascii="Times New Roman" w:hAnsi="Times New Roman"/>
                  <w:color w:val="0000FF"/>
                  <w:sz w:val="20"/>
                  <w:u w:val="single"/>
                </w:rPr>
                <w:t>Quantitative and Qualitative Disclosures About Market Risk</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unregistered_sale_of_secu">
              <w:r>
                <w:rPr>
                  <w:rStyle w:val="InternetLink"/>
                  <w:rFonts w:ascii="Times New Roman" w:hAnsi="Times New Roman"/>
                  <w:color w:val="0000FF"/>
                  <w:sz w:val="20"/>
                  <w:u w:val="single"/>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unregistered_sale_of_secu">
              <w:r>
                <w:rPr>
                  <w:rStyle w:val="InternetLink"/>
                  <w:rFonts w:ascii="Times New Roman" w:hAnsi="Times New Roman"/>
                  <w:color w:val="0000FF"/>
                  <w:sz w:val="20"/>
                  <w:u w:val="single"/>
                </w:rPr>
                <w:t>Unregistered Sales of Equity Securities, Use of Proceeds, and Issuer Purchases of Equity Securities</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4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32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the Exchange Act, Section 27A of the Securities Act of 1933, as amended, or the Securities Act, and the Private Securities Litigation Reform Act of 1995. These statements appear throughout this Quarterly Report on Form 10-Q and are statements regarding our intent, belief, or current expectations, primarily with respect to our business and related industry developments. In some cases, you can identify forward-looking statements by terms such as “believe,” “may,” “will,” “potentially,” “estimate,” “continue,” “anticipate,” “intend,” “could,” “would,” “project,” “plan,” “expect” and similar expressions that convey uncertainty of future events or outcomes, although not all forward-looking statements contain these words. These statements appear throughout this Quarterly Report on Form 10-Q and are statements regarding our intent, belief, or current expectations, primarily with respect to our business and related industry developments. These forward-looking statements are subject to a number of risks, uncertainties and assumptions, including those described in “Risk Factors” and elsewhere in this Quarterly Report on Form 10-Q. Moreover, we operate in a competitive and rapidly changing environment, and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preclinical studies and clinical trials for our therapeutic candidates, including statements regarding the anticipated timing of initiation and completion of studies or trials, the period during which the results of the trials will become available and our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characteristics, safety, tolerability and efficacy of MZE829, MZE782 or any other therapeutic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obtain and maintain regulatory approval for our therapeutic candidates or any other therapeutic candidates we may develop, including the timing of and costs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addressable market and market growth, including our estimates regarding the patient populations and market opportunities for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demand for, and market acceptance of, our therapeutic candidates in any of the indications in which we plan to develop them, and any other therapeutic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use our Compass platform to identify new therapeutic targets and advance such targets into clinical development and validate such targets across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expand access to human genetics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of extensive government regulations in the United States and foreign countries relating to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intellectual property and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our business without infringing, misappropriating or otherwise violating the intellectual property rights and proprietary technology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including our ability to comply with our financial obligations pursuant to the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likelihood of the achievement of milestones pursuant to our existing collaboration and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and performance of third parties, including our clinical research organizations, or CROs, contract manufacturing organizations, or CMOs,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pipeline of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and technical personnel;</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fluctuating interest, inflation and tariff rates, uncertainty with respect to the federal debt ceiling and budget and the related potential for government shutdowns, uncertainty with respect to healthcare policies and regulation, instability in the global banking system, volatile market conditions, supply chain delays, and the ongoing labor shortage;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natural disasters, terrorist activity, pandemics, regional conflicts around the world and the global responses thereto and other events beyond our control on any of the above or any other aspect of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or the JOBS 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expenses, future revenue, capital requirements, and our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or information as of the date on which the statements are made in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herein and have filed with the Securities and Exchange Commission, or SEC, as exhibits to this Quarterly Report on Form 10-Q with the understanding that our actual future results, levels of activity, performance and events and circumstances may be materially different from what we expect.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 in this Quarterly Report on Form 10-Q, and this summary is qualified in its entirety by that discussion. Moreover, we operate in a competitive and rapidly changing environment, and new risks emerge from time to time. It is not possible to predict the impact of all of these factors on our business, financial condition or results of operations. You should consider carefully the risks and uncertainties described below and under the heading “Risk Factors”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principal risks we are exposed to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which may make it difficult to evaluate the success of our business to date and to assess our future viability. Since our inception, we have incurred significant operating losses and have not generated any product revenue. We expect to incur continued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and highly dependent on the success of our lead programs. If we are unable to commercialize our therapeutic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is a lengthy and expensive process, with uncertain timelines and outcomes. If preclinical studies or clinical trials of our therapeutic candidates are prolonged or delayed, we may be unable to obtain required regulatory approvals, and therefore be unable to commercialize our therapeutic candidates or any of our future therapeutic candidates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applying our Compass platform to identify targets with therapeutic potential or to discover and develop safe, effective or commercially viable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the diseases we, or which our partners, seek to treat have low prevalence and/or have available therapies, and it may be difficult for us or our partners to identify patients with these diseases or face competition in the recruitment of these limited groups of patients, which may lead to difficulties in enrolling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Compass platform relies on access to high quality data repositories with paired genetic and clinical data and loss of such access, or the inability to use such data, could have a material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enter, into strategic collaborations, transactions and licensing partnerships for research, development or commercialization of our programs, including our first therapeutic candidate MZE001, and we may not be able to realize the full value of these partnerships or our partnered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in an environment of rapid technological change and there is a possibility that our competitors may achieve regulatory approval before us or develop therapies or technologies that are more advanced or effective than ours, which may harm our business and financial condition, and our ability to successfully market or commercialize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and our partners’ ability to obtain, maintain, enforce and protect our intellectual property and proprietary rights. It is difficult and costly to protect our intellectual property rights and technologies, and we may not be able to ensure their protection. If we are unable to adequately protect our technologies or obtain and maintain patent protection for our technologies and products or if the scope of the patent protection obtained is not sufficiently broad, our competitors could develop and commercialize technologies and products similar or identical to ours, and our ability to successfully commercialize our technologies and products may be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sued for infringing, misappropriating or otherwise violating intellectual property or proprietary rights of third parties, such litigation or disputes could be costly and time-consuming and could prevent or delay us from developing or commercializing our therapeutic candidates.</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sz w:val="20"/>
        </w:rPr>
      </w:pPr>
      <w:bookmarkStart w:id="4" w:name="item_1_financial_statements_unaudited"/>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left"/>
        <w:rPr/>
      </w:pPr>
      <w:r>
        <w:rPr/>
        <w:t> </w:t>
      </w:r>
    </w:p>
    <w:p>
      <w:pPr>
        <w:pStyle w:val="TextBody"/>
        <w:bidi w:val="0"/>
        <w:jc w:val="center"/>
        <w:rPr>
          <w:rFonts w:ascii="Times New Roman" w:hAnsi="Times New Roman"/>
          <w:b/>
          <w:color w:val="000000"/>
          <w:sz w:val="29"/>
        </w:rPr>
      </w:pPr>
      <w:r>
        <w:rPr>
          <w:rFonts w:ascii="Times New Roman" w:hAnsi="Times New Roman"/>
          <w:b/>
          <w:color w:val="000000"/>
          <w:sz w:val="29"/>
        </w:rPr>
        <w:t>Maze Therapeutics, Inc.</w:t>
      </w:r>
    </w:p>
    <w:p>
      <w:pPr>
        <w:pStyle w:val="TextBody"/>
        <w:bidi w:val="0"/>
        <w:jc w:val="center"/>
        <w:rPr>
          <w:rFonts w:ascii="Times New Roman" w:hAnsi="Times New Roman"/>
          <w:b/>
          <w:color w:val="000000"/>
          <w:sz w:val="29"/>
        </w:rPr>
      </w:pPr>
      <w:bookmarkStart w:id="5" w:name="condensed_balance_sheets"/>
      <w:bookmarkEnd w:id="5"/>
      <w:r>
        <w:rPr>
          <w:rFonts w:ascii="Times New Roman" w:hAnsi="Times New Roman"/>
          <w:b/>
          <w:color w:val="000000"/>
          <w:sz w:val="29"/>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tbl>
      <w:tblPr>
        <w:tblW w:w="9792" w:type="dxa"/>
        <w:jc w:val="left"/>
        <w:tblInd w:w="0" w:type="dxa"/>
        <w:tblLayout w:type="fixed"/>
        <w:tblCellMar>
          <w:top w:w="28" w:type="dxa"/>
          <w:left w:w="28" w:type="dxa"/>
          <w:bottom w:w="28" w:type="dxa"/>
          <w:right w:w="28" w:type="dxa"/>
        </w:tblCellMar>
      </w:tblPr>
      <w:tblGrid>
        <w:gridCol w:w="6486"/>
        <w:gridCol w:w="146"/>
        <w:gridCol w:w="211"/>
        <w:gridCol w:w="931"/>
        <w:gridCol w:w="166"/>
        <w:gridCol w:w="146"/>
        <w:gridCol w:w="219"/>
        <w:gridCol w:w="876"/>
        <w:gridCol w:w="611"/>
      </w:tblGrid>
      <w:tr>
        <w:trPr/>
        <w:tc>
          <w:tcPr>
            <w:tcW w:w="6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10,000,000 shares authorized as </w:t>
              <w:br/>
              <w:t xml:space="preserve">   of June 30, 2026 and December 31, 2025; no shares issued and </w:t>
              <w:br/>
              <w:t>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500,000,000 shares authorized as of</w:t>
              <w:br/>
              <w:t>   June 30, 2026 and December 31, 2025; 55,504,574 and 49,335,551   </w:t>
              <w:br/>
              <w:t>   shares issued and outstanding as of June 30, 2026 and December 31, 2025,</w:t>
              <w:br/>
              <w:t>   respectively; 10,372 shares subject to repurchase as of June 30, 2026</w:t>
              <w:br/>
              <w:t>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9"/>
        </w:rPr>
      </w:pPr>
      <w:r>
        <w:rPr>
          <w:rFonts w:ascii="Times New Roman" w:hAnsi="Times New Roman"/>
          <w:b/>
          <w:color w:val="000000"/>
          <w:sz w:val="29"/>
        </w:rPr>
        <w:t>Maze Therapeutics, Inc.</w:t>
      </w:r>
    </w:p>
    <w:p>
      <w:pPr>
        <w:pStyle w:val="TextBody"/>
        <w:bidi w:val="0"/>
        <w:jc w:val="center"/>
        <w:rPr>
          <w:rFonts w:ascii="Times New Roman" w:hAnsi="Times New Roman"/>
          <w:b/>
          <w:color w:val="000000"/>
          <w:sz w:val="29"/>
        </w:rPr>
      </w:pPr>
      <w:bookmarkStart w:id="6" w:name="condensed_statements_of_operations_and"/>
      <w:bookmarkEnd w:id="6"/>
      <w:r>
        <w:rPr>
          <w:rFonts w:ascii="Times New Roman" w:hAnsi="Times New Roman"/>
          <w:b/>
          <w:color w:val="000000"/>
          <w:sz w:val="29"/>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to</w:t>
              <w:br/>
              <w:t>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58,995,934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43,797,421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56,460,660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36,254,828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9"/>
        </w:rPr>
      </w:pPr>
      <w:r>
        <w:rPr>
          <w:rFonts w:ascii="Times New Roman" w:hAnsi="Times New Roman"/>
          <w:b/>
          <w:color w:val="000000"/>
          <w:sz w:val="29"/>
        </w:rPr>
        <w:t>Maze Therapeutics, Inc.</w:t>
      </w:r>
    </w:p>
    <w:p>
      <w:pPr>
        <w:pStyle w:val="TextBody"/>
        <w:bidi w:val="0"/>
        <w:jc w:val="center"/>
        <w:rPr>
          <w:rFonts w:ascii="Times New Roman" w:hAnsi="Times New Roman"/>
          <w:b/>
          <w:color w:val="000000"/>
          <w:sz w:val="29"/>
        </w:rPr>
      </w:pPr>
      <w:bookmarkStart w:id="7" w:name="condensed_statements_of_convertible_pref"/>
      <w:bookmarkEnd w:id="7"/>
      <w:r>
        <w:rPr>
          <w:rFonts w:ascii="Times New Roman" w:hAnsi="Times New Roman"/>
          <w:b/>
          <w:color w:val="000000"/>
          <w:sz w:val="29"/>
        </w:rPr>
        <w:t>Condensed Statements of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p>
      <w:pPr>
        <w:pStyle w:val="TextBody"/>
        <w:bidi w:val="0"/>
        <w:spacing w:before="200" w:after="283"/>
        <w:jc w:val="left"/>
        <w:rPr/>
      </w:pPr>
      <w:r>
        <w:rPr/>
        <w:t> </w:t>
      </w:r>
    </w:p>
    <w:tbl>
      <w:tblPr>
        <w:tblW w:w="10835" w:type="dxa"/>
        <w:jc w:val="left"/>
        <w:tblInd w:w="0" w:type="dxa"/>
        <w:tblLayout w:type="fixed"/>
        <w:tblCellMar>
          <w:top w:w="28" w:type="dxa"/>
          <w:left w:w="28" w:type="dxa"/>
          <w:bottom w:w="28" w:type="dxa"/>
          <w:right w:w="28" w:type="dxa"/>
        </w:tblCellMar>
      </w:tblPr>
      <w:tblGrid>
        <w:gridCol w:w="1006"/>
        <w:gridCol w:w="146"/>
        <w:gridCol w:w="146"/>
        <w:gridCol w:w="916"/>
        <w:gridCol w:w="151"/>
        <w:gridCol w:w="146"/>
        <w:gridCol w:w="181"/>
        <w:gridCol w:w="646"/>
        <w:gridCol w:w="151"/>
        <w:gridCol w:w="146"/>
        <w:gridCol w:w="146"/>
        <w:gridCol w:w="146"/>
        <w:gridCol w:w="796"/>
        <w:gridCol w:w="146"/>
        <w:gridCol w:w="146"/>
        <w:gridCol w:w="216"/>
        <w:gridCol w:w="415"/>
        <w:gridCol w:w="146"/>
        <w:gridCol w:w="146"/>
        <w:gridCol w:w="181"/>
        <w:gridCol w:w="721"/>
        <w:gridCol w:w="146"/>
        <w:gridCol w:w="146"/>
        <w:gridCol w:w="341"/>
        <w:gridCol w:w="710"/>
        <w:gridCol w:w="151"/>
        <w:gridCol w:w="146"/>
        <w:gridCol w:w="207"/>
        <w:gridCol w:w="739"/>
        <w:gridCol w:w="151"/>
        <w:gridCol w:w="146"/>
        <w:gridCol w:w="200"/>
        <w:gridCol w:w="716"/>
        <w:gridCol w:w="19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297,205,041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508,087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2,446,864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(311,183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initial public</w:t>
              <w:br/>
              <w:t>   offering, net of issuance costs of $15,402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redeemable convertible preferred stock to</w:t>
              <w:br/>
              <w:t>   common stock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(297,205,041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(508,087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32,586,823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508,087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43,797,166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292,068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vesting of restricted stock</w:t>
              <w:br/>
              <w: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the 2025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(33,679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43,850,884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687,086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(424,892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262,238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49,335,551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(489,547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354,966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vesting of restricted stock</w:t>
              <w:br/>
              <w: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49,737,619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855,541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341,701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and pre-funded warrants to</w:t>
              <w:br/>
              <w:t>   purchase common stock in connection with</w:t>
              <w:br/>
              <w:t>   underwritten registered offering, net of issuance costs</w:t>
              <w:br/>
              <w:t>   of $5,595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144,569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the 2025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(44,727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55,504,574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(558,482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453,124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9"/>
        </w:rPr>
      </w:pPr>
      <w:r>
        <w:rPr>
          <w:rFonts w:ascii="Times New Roman" w:hAnsi="Times New Roman"/>
          <w:b/>
          <w:color w:val="000000"/>
          <w:sz w:val="29"/>
        </w:rPr>
        <w:t>Maze Therapeutics, Inc.</w:t>
      </w:r>
    </w:p>
    <w:p>
      <w:pPr>
        <w:pStyle w:val="TextBody"/>
        <w:bidi w:val="0"/>
        <w:jc w:val="center"/>
        <w:rPr>
          <w:rFonts w:ascii="Times New Roman" w:hAnsi="Times New Roman"/>
          <w:b/>
          <w:color w:val="000000"/>
          <w:sz w:val="29"/>
        </w:rPr>
      </w:pPr>
      <w:bookmarkStart w:id="8" w:name="statements_of_cash_flows"/>
      <w:bookmarkEnd w:id="8"/>
      <w:r>
        <w:rPr>
          <w:rFonts w:ascii="Times New Roman" w:hAnsi="Times New Roman"/>
          <w:b/>
          <w:color w:val="000000"/>
          <w:sz w:val="29"/>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841"/>
        <w:gridCol w:w="166"/>
        <w:gridCol w:w="146"/>
        <w:gridCol w:w="211"/>
        <w:gridCol w:w="78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underwritten registered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underwritten registered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debt issuance,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the 2025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offering costs for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initial public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initial public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success fee derivative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to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9"/>
        </w:rPr>
      </w:pPr>
      <w:r>
        <w:rPr>
          <w:rFonts w:ascii="Times New Roman" w:hAnsi="Times New Roman"/>
          <w:b/>
          <w:color w:val="000000"/>
          <w:sz w:val="29"/>
        </w:rPr>
        <w:t>Maze Therapeutics, Inc.</w:t>
      </w:r>
    </w:p>
    <w:p>
      <w:pPr>
        <w:pStyle w:val="TextBody"/>
        <w:bidi w:val="0"/>
        <w:jc w:val="center"/>
        <w:rPr>
          <w:rFonts w:ascii="Times New Roman" w:hAnsi="Times New Roman"/>
          <w:b/>
          <w:color w:val="000000"/>
          <w:sz w:val="29"/>
        </w:rPr>
      </w:pPr>
      <w:bookmarkStart w:id="9" w:name="notes_to_the_financial_statements"/>
      <w:bookmarkEnd w:id="9"/>
      <w:r>
        <w:rPr>
          <w:rFonts w:ascii="Times New Roman" w:hAnsi="Times New Roman"/>
          <w:b/>
          <w:color w:val="000000"/>
          <w:sz w:val="29"/>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Organization and principal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Maze Therapeutics, Inc., or the Company, is a clinical-stage biopharmaceutical company harnessing the power of human genetics to develop novel, small molecule precision medicines for patients living with kidney and metabolic diseases. The Company was incorporated in Delaware in August 2017 and is located in South San Francisco, California.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entered into an Open Market Sale Agreement with Jefferies LLC, serving as sales agent, with respect to an at-the-market offering program pursuant to which the Company may elect to issue and sell shares of its common stock having an aggregate offering price of up to $200.0 million, or the 2026 Sale Agreement, in such quantities and on such minimum price terms as the Company sets from time to time through its sales agent. The Company has agreed to pay its sales agent an aggregate commission equal to up to 3.0% of the gross proceeds of the sales under the agreement. To date, no sales of common stock have occurred under the 2026 Sale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Hercules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entered into a loan and security agreement, or the Hercules Loan Agreement, with certain lenders and Hercules Capital, Inc., in its capacity as administrative agent and collateral agent for itself and the lenders, which provides for a senior secured term loan facility in an aggregate principal amount of up to $200.0 million, or the Hercules Term Loan Facility. An initial term loan of $40.0 million was funded under the Hercules Loan Agreement and the Hercules Term Loan Facility includes up to six additional term loan tranches providing up to an aggregate $160.0 million in additional loan commitments through February 2031, so long as the Company satisfies certain conditions precedent. The final tranche of $50.0 million is subject to approval by the lenders’ investment committee. The Hercules Loan Agreement has a maturity date of February 1, 2031, and may be prepaid at any time, subject to prepayment premiums. See Note 10, Loan and security agreements, for further discussion of the Hercules Loan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and expects to incur significant and increasing losses as a result of its continued research and development activities. As of June 30, 2026, the Company had an accumulated deficit of $558.5 million. Historically, the Company has financed its operations primarily through issuances of its equity, issuances of convertible promissory notes, debt financings and license agreements. The Company may seek to raise capital through additional term loan tranches pursuant to the Hercules Term Loan Facility, equity financings, including pursuant to the 2026 Sale Agreement, license agreements, or other sources of financing. There can be no assurance that such financings will be available or will be at terms acceptable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had cash, cash equivalents and marketable securities of $494.9 million. The Company believes that its existing cash, cash equivalents and marketable securities will be sufficient to fund the Company’s operations for at least one year from the issuance date of these unaudited condensed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accounting principles generally accepted in the United States of America, or U.S. GAAP, for interim financial information and the instructions to Form 10-Q and Article 10 of the Securities and Exchange Commission, or SEC, Regulation S-X for interim financial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unaudited condensed financial statements and notes should be read in conjunction with the audited financial statements and notes thereto contained in the Company’s Annual Report on Form 10-K for the year ended December 31, 2025, as filed with the SEC on March 25, 2026, or the 2025 10-K. The condensed balance sheet as of December 31, 2025 was derived from the audited annual financial statements as of and for the period then ended. Certain information and footnote disclosures included in the Company’s annual financial statements have been condensed or omitted. The accompanying unaudited condensed financial statements reflect all adjustments that, in the opinion of management, are necessary for a fair presentation of the Company’s financial position, results of operations and cash flows for the periods presented. All such adjustments are of a normal recurring nature except for the impacts of adopting new accounting standards, if any, discussed below. These interim financial results are not necessarily indicative of results expected for the full fiscal year or for any subsequent interim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to the Company’s significant accounting policies during the six months ended June 30, 2026, as described in the Company’s audited financial statements as of and for the year ended December 31, 2025 included in the 2025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amounts reported in the condensed financial statements and accompanying notes. The Company bases its estimates on historical experience and market-specific or other relevant assumptions that it believes are reasonable under the circumstances. Assets and liabilities reported in the Company’s condensed balance sheet and revenue and expenses reported in the Company's condensed statement of operations and comprehensive loss are affected by estimates and assumptions, which are used for, but are not limited to, measuring and recognizing revenue, including any related constraints, and determining the fair value of assets and liabilities, including income tax uncertainties, the measurement of stock-based compensation expense, and certain accruals. Actual results could differ from such estimates or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which is the business of harnessing its understanding of human genetics and variant functionalization to develop small molecule precision medicines. The Company’s chief executive officer, who is the chief operating decision maker, or CODM, reviews financial information on an aggregate basis for allocating resources and evaluating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in alignment with the Company’s overall corporate strategy and goals, analyzes a variety of data to guide segment resource allocation, including program and portfolio scientific data, probability of regulatory and commercial success, and the competitive environment. The CODM also reviews certain financial results included in the segment loss from operations which is reported on the condensed statements of operations and comprehensive loss as total loss from operations. The measure of segment assets is reported on the condensed balance sheets as total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all of the Company’s property and equipment was maintained in the United States. The Company generated no license revenue during the three months ended June 30, 2026 and license revenue of $20.0 million during the six months ended June 30, 2026. No revenue was generated during the three and six months ended June 30, 2025. Segment information for prior periods has been recast to conform to the current year segment information that is provided to the CODM. The following table presents selected financial information with respect to the Company’s single operating segment for the three and six months ended June 30, 2026 and 2025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3"/>
        <w:gridCol w:w="146"/>
        <w:gridCol w:w="215"/>
        <w:gridCol w:w="753"/>
        <w:gridCol w:w="169"/>
        <w:gridCol w:w="148"/>
        <w:gridCol w:w="215"/>
        <w:gridCol w:w="753"/>
        <w:gridCol w:w="166"/>
        <w:gridCol w:w="146"/>
        <w:gridCol w:w="211"/>
        <w:gridCol w:w="736"/>
        <w:gridCol w:w="166"/>
        <w:gridCol w:w="146"/>
        <w:gridCol w:w="211"/>
        <w:gridCol w:w="736"/>
        <w:gridCol w:w="415"/>
      </w:tblGrid>
      <w:tr>
        <w:trPr/>
        <w:tc>
          <w:tcPr>
            <w:tcW w:w="4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 by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MZE829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MZE782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research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lab supplies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and establishes a fair value hierarchy that requires an entity to maximize the use of observable inputs, where available, and minimize the use of unobservable inputs when measuring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fair value of financial assets and liabilities using the fair value hierarchy that describes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that reflect quoted prices (unadjusted) for identical assets or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reflecting the Company’s own assumptions incorporated in valuation techniques used to determine fair value. These assumptions are required to be consistent with market participant assumptions that are reasonably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certain financial instruments, including cash and accounts payable, as well as certain accrued liabilities, the recorded amount approximates estimated fair value due to their relatively short maturity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financial instruments with original maturities of 90 days or less at the date of purchase to be cash equivalents. As of June 30, 2026 and December 31, 2025, cash equivalents consisted of money market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is comprised of cash that is restricted as to withdrawal or use under the terms of certain contractual agreements. Restricted cash as of June 30, 2026 and December 31, 2025 included $1.1 million as collateral for a letter of credit related to the Company’s headquarters building lease in South San Francisco, California. Restricted cash is classified as a noncurrent asset on the balance sheet. As of June 30, 2026 and December 31, 2025, restricted cash consisted of money market funds.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defers offering costs consisting of legal, accounting and other fees and costs directly associated with in-process equity financings until such financings are consummated. After consummation of the equity financing, these costs are classified in stockholders’ equity as a reduction of the additional paid-in capital recorded as a result of the financing. If the in-process financing is abandoned, the deferred offering costs are expensed immediately as a charge to operating expenses in the condensed statements of operations and comprehensive loss.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Debt issuance costs and debt discount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issuance costs include legal fees, accounting fees and other direct costs incurred in connection with the execution of the Company's debt financings. Debt discount represents costs paid to the lenders. Debt issuance costs and debt discount are deducted from the carrying amount of the debt liability and are amortized to interest expense over the term of the related debt using the effective interest method.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in accordance with Accounting Standards Codification, or ASC, 606, </w:t>
      </w:r>
      <w:r>
        <w:rPr>
          <w:rFonts w:ascii="Times New Roman" w:hAnsi="Times New Roman"/>
          <w:i/>
          <w:color w:val="000000"/>
          <w:sz w:val="20"/>
        </w:rPr>
        <w:t>Revenue from Contracts with Customers</w:t>
      </w:r>
      <w:r>
        <w:rPr>
          <w:rFonts w:ascii="Times New Roman" w:hAnsi="Times New Roman"/>
          <w:color w:val="000000"/>
          <w:sz w:val="20"/>
        </w:rPr>
        <w:t>, or ASC 606. To determine the appropriate amount and timing of revenue to be recognized under this guidance, the Company performs the following steps: (i) identifies the contract(s) with a customer; (ii) identifies the performance obligations in the contract; (iii) determines the transaction price, including variable consideration, if any; (iv) allocates the transaction price to the performance obligations in the contract; and (v) recognizes revenue when (or as) the entity satisfies a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arrangements involving the license of intellectual property. Analyzing the license arrangements to identify performance obligations requires the use of judgment. In arrangements that include the license of intellectual property and other promised services, the Company first identifies if the licenses are distinct from the other promises in the arrangement. For the license of intellectual property that is distinct, the Company recognizes revenue from consideration allocated to the license when the license is transferred and the customer is able to benefit from the license. If the license is not distinct, the license is combined with other services into a single performance obligation and the Company recognizes revenue when (or as) the performance obligation is satisfied. Factors that are considered in evaluating whether a license is distinct from other promised services include, for example, whether the counterparty can benefit from the license without the promised service on its own or with other readily available resources and whether the promised service is expected to significantly modify or customize the intellectual property. Promised goods and services that are not material in the context of the contract are not considered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the amount of consideration to which the Company expects to be entitled in exchange for transferring promised goods or services to a customer. The consideration promised in a contract with a customer may include fixed amounts, variable amounts, or both. Non-refundable upfront payments are considered fixed consideration and included in the transaction price. At the inception of an arrangement and at each reporting period thereafter, the Company assesses whether it should include development, regulatory, commercial milestones or other forms of variable consideration in the transaction price using the most likely amount method. The Company evaluates whether the milestones are considered probable of being reached and estimates the amount to be included in the transaction price. The Company includes the amount of estimated variable consideration, including milestones, in the transaction price to the extent that it is probable that a significant reversal of cumulative revenue recognized will not occur. Milestone payments that are not within the Company’s control or the licensee’s control, such as regulatory approvals, are generally not considered probable of being achieved until those approvals are received. At the end of each reporting period, the Company re-evaluates the probability of achievement of the milestones and any related constraint, and, if necessary, adjusts its estimate of the overall transaction price. Any such adjustments are recorded on a cumulative catch-up basis, which will affect revenue in the period of adjustment. In addition, the Company is eligible to receive certain royalties on net sales of licensed products if successfully commercialized by our licensees. The royalties are dependent on future sales, which are at the full discretion of the licensee. We will recognize sales-based milestone payments in the period in which we achieve the milestone under the sales-based royalty exception allowed under accounting rules. Accordingly, we will apply a constraint to these amounts until the future sales have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received prior to satisfying the revenue recognition criteria are recorded as deferred revenue in the Company’s balance sheets. If the related performance obligation is expected to be satisfied within the next twelve months this will be classified in current liabilities. Amounts recognized as revenue prior to receipt are recorded as contract assets in the Company’s balance sheets. If the Company expects to have an unconditional right to receive consideration in the next twelve months, this will be classified in current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per share attributable to common stockholders is calculated using the two-class method required for companies with participating securities. The Company considered its convertible preferred stock to be participating securities as the holders were entitled to receive noncumulative dividends in the event that a dividend is paid on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attributable to common stockholders is computed by dividing net loss attributable to common stockholders by the weighted-average number of common shares outstanding during the period less common shares subject to vesting or forfeiture, without consideration for potentially dilutive securities. In September 2025, the Company entered into a securities purchase agreement, or the Private Placement, pursuant to which the Company issued pre-funded warrants to purchase up to an aggregate of 5,231,090 shares of its common stock at a purchase price of $16.249 per pre-funded warrant, or the 2025 Pre-Funded Warrants. In April 2026, the Company completed an underwritten registered offering, or the Underwritten Registered Offering, pursuant to which the Company issued pre-funded warrants to purchase up to an aggregate of 850,000 shares of its common stock at a purchase price of $23.499 per pre-funded warrant, or the 2026 Pre-Funded Warrants. The 2025 Pre-Funded Warrants and 2026 Pre-Funded Warrants are exercisable immediately at an exercise price of $0.001 per share and do not expire. The pre-funded warrants are considered outstanding upon issuance for the purposes of computing basic net loss per share because the shares are fully vested and exercisable for little consideration after their original issuance date. See Note 6, Capital structure, for further discussion of the Private Placement and Underwritten Registered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net loss per share is computed by dividing net loss by the weighted-average number of common shares and the number of common shares that would be issued assuming exercise and conversion of all potentially dilutive instruments. In calculating diluted net loss per share, the Company applies the treasury stock method to equity awards, if dilutive. Distributed and undistributed earnings are allocated to participating securities based on their participation rights and are subtracted from net income in determining net income attributable to common stockholders for basic and diluted net income per share, only in periods of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Company reported a net loss for the three and six months ended June 30, 2026 and 2025, and the inclusion of the potentially dilutive securities would be antidilutive, diluted net loss per share is the same as basic net loss per share for the periods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Financial Accounting Standards Board, or FASB, issued Accounting Standards Update, or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a practical expedient that assumes that current conditions as of the balance sheet date do not change for the remaining life of the asset in developing reasonable and supportable forecasts during the application of the current expected credit loss model for current accounts receivable and current contract assets arising from transactions under ASC 606. The Company adopted ASU 2025-05 effective January 1, 2026. The Company determined there is no impact to its financial statements from adopting ASU 2025-05 as it does not develop forecasts as part of estimating expected credit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accounting pronouncements—Not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which will require additional expense disclosures for all public entities. The amendments require that at each interim and annual reporting period, an entity will disclose certain disaggregated expenses included in each relevant expense caption, as well as the total amount of selling expenses and, in annual periods, an entity’s definition of selling expenses. ASU 2024-03 is effective for annual reporting periods beginning with the fiscal year ending December 31, 2027, and interim periods thereafter, with early adoption permitted. The Company expects the adoption of this standard to result in increased disclosures in its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2025, the FASB issued ASU 2025</w:t>
        <w:noBreakHyphen/>
        <w:t xml:space="preserve">11, </w:t>
      </w:r>
      <w:r>
        <w:rPr>
          <w:rFonts w:ascii="Times New Roman" w:hAnsi="Times New Roman"/>
          <w:i/>
          <w:color w:val="000000"/>
          <w:sz w:val="20"/>
        </w:rPr>
        <w:t>Interim Reporting (Topic 270): Narrow-Scope Improvements</w:t>
      </w:r>
      <w:r>
        <w:rPr>
          <w:rFonts w:ascii="Times New Roman" w:hAnsi="Times New Roman"/>
          <w:color w:val="000000"/>
          <w:sz w:val="20"/>
        </w:rPr>
        <w:t>.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types of assets measured at fair value on a recurring basis by level within the fair value hierarchy. </w:t>
      </w:r>
    </w:p>
    <w:p>
      <w:pPr>
        <w:pStyle w:val="TextBody"/>
        <w:bidi w:val="0"/>
        <w:jc w:val="left"/>
        <w:rPr/>
      </w:pPr>
      <w:r>
        <w:rPr/>
        <w:t> </w:t>
      </w:r>
    </w:p>
    <w:tbl>
      <w:tblPr>
        <w:tblW w:w="7995" w:type="dxa"/>
        <w:jc w:val="left"/>
        <w:tblInd w:w="0" w:type="dxa"/>
        <w:tblLayout w:type="fixed"/>
        <w:tblCellMar>
          <w:top w:w="28" w:type="dxa"/>
          <w:left w:w="28" w:type="dxa"/>
          <w:bottom w:w="28" w:type="dxa"/>
          <w:right w:w="28" w:type="dxa"/>
        </w:tblCellMar>
      </w:tblPr>
      <w:tblGrid>
        <w:gridCol w:w="3081"/>
        <w:gridCol w:w="146"/>
        <w:gridCol w:w="211"/>
        <w:gridCol w:w="781"/>
        <w:gridCol w:w="146"/>
        <w:gridCol w:w="146"/>
        <w:gridCol w:w="211"/>
        <w:gridCol w:w="676"/>
        <w:gridCol w:w="146"/>
        <w:gridCol w:w="146"/>
        <w:gridCol w:w="211"/>
        <w:gridCol w:w="781"/>
        <w:gridCol w:w="146"/>
        <w:gridCol w:w="146"/>
        <w:gridCol w:w="239"/>
        <w:gridCol w:w="391"/>
        <w:gridCol w:w="3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 1, 2, or 3 during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marketable securities were considered available-for-sale as of June 30, 2026 and December 31, 2025. On a recurring basis, the Company records its marketable securities at fair value using Level 1 or Level 2 inputs as discussed in Note 3, Fair value measurements. The amortized cost, unrealized holding gains, unrealized holding losses and fair value of the Company’s marketable securities by major security type as of June 30, 2026 and December 31, 2025 are summarized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3"/>
        <w:gridCol w:w="146"/>
        <w:gridCol w:w="255"/>
        <w:gridCol w:w="943"/>
        <w:gridCol w:w="146"/>
        <w:gridCol w:w="146"/>
        <w:gridCol w:w="421"/>
        <w:gridCol w:w="844"/>
        <w:gridCol w:w="146"/>
        <w:gridCol w:w="146"/>
        <w:gridCol w:w="392"/>
        <w:gridCol w:w="897"/>
        <w:gridCol w:w="166"/>
        <w:gridCol w:w="146"/>
        <w:gridCol w:w="466"/>
        <w:gridCol w:w="1727"/>
        <w:gridCol w:w="395"/>
      </w:tblGrid>
      <w:tr>
        <w:trPr/>
        <w:tc>
          <w:tcPr>
            <w:tcW w:w="2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Estimated 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208,444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292,265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Estimated 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170,784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receivable as of June 30, 2026 and December 31, 2025 was $2.8 million and $1.5 million, respectively, and is recorded as a component of prepaid expenses and other current assets on the Company’s condensed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66 of the Company's marketable securities were in an unrealized loss position, and no marketable securities had been in continuous unrealized loss positions for 12 months or longer. The Company has not recognized an allowance for credit losses as of June 30, 2026 or December 31, 2025. The Company determined that it has the ability and intent to hold all marketable securities that have been in a continuous unrealized loss position until their maturity or recovery of their amortized cost. Further, a majority of the Company's investments were held in U.S. government securities, and the remainder were held with investment grade, high credit quality institutions. Moreover, the Company continues to receive payments of interest and principal as they become due, and the Company's expectation is that those payments will continue to be received timely. Based on this evaluation, as of June 30, 2026, the Company determined that unrealized losses of its marketable securities were primarily attributable to changes in interest rates and non-credit related factors. As of June 30, 2026, all of the Company’s marketable securities have a remaining contractual maturity of less than two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left"/>
        <w:rPr/>
      </w:pPr>
      <w:r>
        <w:rPr/>
        <w:t> </w:t>
      </w:r>
    </w:p>
    <w:tbl>
      <w:tblPr>
        <w:tblW w:w="7545" w:type="dxa"/>
        <w:jc w:val="left"/>
        <w:tblInd w:w="0" w:type="dxa"/>
        <w:tblLayout w:type="fixed"/>
        <w:tblCellMar>
          <w:top w:w="28" w:type="dxa"/>
          <w:left w:w="28" w:type="dxa"/>
          <w:bottom w:w="28" w:type="dxa"/>
          <w:right w:w="28" w:type="dxa"/>
        </w:tblCellMar>
      </w:tblPr>
      <w:tblGrid>
        <w:gridCol w:w="4261"/>
        <w:gridCol w:w="146"/>
        <w:gridCol w:w="271"/>
        <w:gridCol w:w="869"/>
        <w:gridCol w:w="146"/>
        <w:gridCol w:w="146"/>
        <w:gridCol w:w="360"/>
        <w:gridCol w:w="1155"/>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Capital structure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entered into the 2026 Sale Agreement. See Note 1, Organization and principal activities, for further discussion of the 2026 Sale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Company completed the Private Placement, pursuant to which the Company issued and sold an aggregate of 4,000,002 shares of its common stock at a purchase price of $16.25 per share and the 2025 Pre-Funded Warrants to purchase up to an aggregate of 5,231,090 shares of its common stock at a purchase price of $16.249 per pre-funded warrant, resulting in net proceeds of approximately $141.3 million, after deducting placement fees and other offering expenses paid by the Company of approximately $8.7 million. The 2025 Pre-Funded Warrants are exercisable immediately at an exercise price of $0.001 per share each and do not expire. The 2025 Pre-Funded Warrants provide that each holder of the 2025 Pre-Funded Warrants does not have the right to exercise any portion of its 2025 Pre-Funded Warrants if such holder, together with its affiliates, would beneficially own in excess of 4.99% or 9.99%, at the holder’s election, of the number of shares of the Company's common stock outstanding immediately after giving effect to such exercise. A holder of the 2025 Pre-Funded Warrants may increase or decrease this percentage, but not in excess of 19.99%, by providing at least 61 days’ prior notice to the Company. For the three and six months ended June 30, 2026, no 2025 Pre-Funded Warrants were exercised, and as of June 30, 2026, 2025 Pre-Funded Warrants to purchase 4,331,090 shares of the Company's common stock remained outstanding.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Underwritten Registered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the Company completed the Underwritten Registered Offering, pursuant to which the Company issued and sold an aggregate of 5,540,000 shares of its common stock at a purchase price of $23.50 per share and the 2026 Pre-Funded Warrants to purchase up to an aggregate of 850,000 shares of its common stock at a purchase price of $23.499 per pre-funded warrant, resulting in net proceeds of approximately $144.6 million, after deducting underwriting discounts and commissions and offering expenses paid by the Company of approximately $5.6 million. The 2026 Pre-Funded Warrants are exercisable immediately at an exercise price of $0.001 per share each and do not expire. The 2026 Pre-Funded Warrants provide that each holder of the 2026 Pre-Funded Warrants does not have the right to exercise any portion of its 2026 Pre-Funded Warrants if such holder, together with its affiliates, would beneficially own in excess of 4.99% of the number of shares of the Company’s common stock outstanding immediately after giving effect to such exercise. A holder of the 2026 Pre-Funded Warrants may increase or decrease this percentage, but not in excess of 19.99%, by providing at least 61 days’ prior notice to the Company. For the three and six months ended June 30, 2026, no 2026 Pre-Funded Warrants were exercised, and as of June 30, 2026, 2026 Pre-Funded Warrants to purchase 850,000 shares of the Company's common stock remained outstanding.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the issuance of the 2025 Pre-Funded Warrants and the 2026 Pre-Funded Warrants, the Company evaluated the warrant terms to determine the appropriate accounting and classification pursuant to Accounting Standards Codification 480, </w:t>
      </w:r>
      <w:r>
        <w:rPr>
          <w:rFonts w:ascii="Times New Roman" w:hAnsi="Times New Roman"/>
          <w:i/>
          <w:color w:val="000000"/>
          <w:sz w:val="20"/>
        </w:rPr>
        <w:t>Distinguishing Liabilities from Equity</w:t>
      </w:r>
      <w:r>
        <w:rPr>
          <w:rFonts w:ascii="Times New Roman" w:hAnsi="Times New Roman"/>
          <w:color w:val="000000"/>
          <w:sz w:val="20"/>
        </w:rPr>
        <w:t xml:space="preserve">, and Accounting Standards Codification 815, </w:t>
      </w:r>
      <w:r>
        <w:rPr>
          <w:rFonts w:ascii="Times New Roman" w:hAnsi="Times New Roman"/>
          <w:i/>
          <w:color w:val="000000"/>
          <w:sz w:val="20"/>
        </w:rPr>
        <w:t>Derivatives and Hedging</w:t>
      </w:r>
      <w:r>
        <w:rPr>
          <w:rFonts w:ascii="Times New Roman" w:hAnsi="Times New Roman"/>
          <w:color w:val="000000"/>
          <w:sz w:val="20"/>
        </w:rPr>
        <w:t>. Warrants are classified as liabilities when the warrant terms allow settlement of the warrant exercise in cash and classified as equity when the warrant terms only allow settlement in shares of common stock. The terms of the 2025 Pre-Funded Warrants and the 2026 Pre-Funded Warrants include certain provisions related to fundamental transactions and a cashless exercise provision in the event registered shares are not available, and do not include any mandatory redemption provisions. Based on its evaluation, the Company concluded the 2025 Pre-Funded Warrants and the 2026 Pre-Funded Warrants should be classified as equity with no subsequent remeasurement as long as such warrants continue to be classified as equity.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incentive plans and stock-based compensation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or Board of Directors, and stockholders approved the 2025 Equity Incentive Plan, or 2025 Plan, which became effective on January 29, 2025. The 2025 Plan replaced the 2019 Equity Incentive Plan, or 2019 Plan, and upon its effectiveness, the Company ceased granting awards under the 2019 Plan. The 2025 Plan allows the Company to make equity-based and cash-based incentive awards to its officers, employees, directors and consultants. The Company initially reserved 5,300,000 shares of its common stock under the 2025 Plan plus those shares of common stock previously reserved but unissued under the 2019 Plan. Any outstanding awards granted under the 2019 Plan will remain subject to the terms of the 2019 Plan and applicable award agreements. The number of shares reserved for issuance under the 2025 Plan will increase automatically on January 1st each year from 2026 through 2035 by the number of shares equal to the lesser of 5% of the sum of (a) the total number of outstanding shares of all classes of the Company’s common stock plus (b) the total number of shares of the Company’s common stock subject to pre-funded warrants (if any) and (c) the total number of shares of the Company’s common stock issuable upon conversion of preferred stock (if any), in each case as of the immediately preceding December 31st, or a number as may be determined by the Board of Directors or compensation committee thereof. Accordingly, the Company’s common stock reserved for future issuance under the 2025 Plan was increased by 2,683,332 shares on January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there was an aggregate of 6,125,834 options outstanding under the 2019 Plan and 2025 Plan and 1,033,730 restricted stock units, or RSUs, outstanding under the 2025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and stockholders approved the 2025 Employee Stock Purchase Plan, or 2025 ESPP, which became effective on January 30, 2025. The number of shares initially available for issuance pursuant to the 2025 ESPP was 450,000 shares. The purchase price of common stock purchased under the 2025 ESPP is equal to 85% of the lesser of the fair market value of the Company’s common stock on (i) the first trading day of the applicable offering period or (ii) the last trading day of each purchase period in the applicable offering period. The aggregate number of shares reserved for sale under the 2025 ESPP will increase automatically on January 1st each year from 2026 through 2035 by the number of shares equal to 1% of the sum of (a) the total number of outstanding shares of all classes of the Company’s common stock plus (b) the total number of shares of the Company’s common stock subject to pre-funded warrants (if any) and (c) the total number of shares of the Company’s common stock issuable upon conversion of preferred stock (if any), in each case outstanding as of the immediately preceding December 31st, provided that the Board of Directors or compensation committee may in its sole discretion reduce the amount of the increase in any particular calendar year. Accordingly, the number of shares reserved for future issuance under the 2025 ESPP was increased by 536,666 shares on January 1, 2026. During the three and six months ended June 30, 2026, 83,257 shares were issued under the 2025 ESPP and 53,716 shares were issued under the 2025 ESPP during the same periods in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stock-based compensation expense recognized in the Company’s condensed statements of operations and comprehensive loss during the three and six months ended June 30, 2026 and 2025:</w:t>
      </w:r>
    </w:p>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22"/>
        <w:gridCol w:w="713"/>
        <w:gridCol w:w="154"/>
        <w:gridCol w:w="154"/>
        <w:gridCol w:w="222"/>
        <w:gridCol w:w="60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there was $55.7 million of total unrecognized compensation cost related to unvested options for which the cost is expected to be recognized over a weighted-average period of 2.70 years. As of June 30, 2026, there was $1.4 million of total unrecognized compensation cost related to the 2025 ESPP for which the cost is expected to be recognized over a weighted-average period of 1.12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stock-based compensation expense related to RSUs recognized during the three and six months ended June 30, 2026 was $3.0 million and $5.2 million, respectively, and is included in the stock-based compensation expense table above. No stock-based compensation expense related to RSUs was recognized during the three and six months ended June 30, 2025. As of June 30, 2026, there was $27.0 million of total unrecognized compensation cost related to outstanding RSUs that is expected to be recognized over a weighted average period of 2.26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Trace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Company entered into an exclusive license agreement with Trace Neuroscience, Inc., or Trace, pursuant to which the Company granted an exclusive worldwide license to a discovery research program targeting UNC13A for the treatment of amyotrophic lateral sclerosis, or the Trace License Agreement. As consideration for the licensed rights and the transfer of know-how and materials, the Company received an upfront payment of $15.0 million in April 2024. Thereafter, the Company is entitled to potential subsequent payments of up to an aggregate of $80.0 million based on development and regulatory milestones and up to an aggregate of $250.0 million based on sales milestones. The Company is also entitled to tiered royalties ranging from percentages in the low single-digits to sub-teens on net sales of any licensed product if successfully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the Trace License Agreement in accordance with ASC 606 and concluded that it was a contract with a customer. The Company determined that there is one performance obligation relating to the license to the UNC13A discovery program, including the underlying know-how and certain related materials, and that the transaction price consisted of the $15.0 million non-refundable upfront cash payment. The potential future development and regulatory milestones represent variable consideration and were constrained, as it was concluded that it was not probable that a significant reversal in cumulative revenue recognized will not occur and therefore not included in the transaction price as of June 30, 2026. Potential sales milestones and royalties on net product sales will be recognized in the same period that the underlying net product sales occur as they were determined to relate to the license. The $15.0 million transaction price was recorded as license revenue in the statements of operations and comprehensive loss during the year ended December 31, 2024, at the point in time when control of the license and related know-how was transferred to Trace.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Shionogi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exclusive license agreement with Shionogi &amp; Company, Ltd., or Shionogi, pursuant to which the Company granted Shionogi an exclusive, worldwide, sublicensable license to research, develop, manufacture and commercialize MZE001 and certain other small molecule compounds modulating glycogen synthase 1, or the Shionogi License Agreement. As consideration for the licensed rights and the transfer of know-how and materials, the Company received an upfront payment of $150.0 million in May 2024 upon the effectiveness of the Shionogi License Agreement. The Shionogi License Agreement also requires that Shionogi pay the Company up to $275.0 million in the aggregate in milestone payments upon the completion of certain clinical and regulatory milestones and up to $330.0 million in the aggregate in milestone payments if certain sales milestones are achieved. In March 2026, a $20.0 million clinical development milestone was achieved upon dosing of the first patient in Shionogi's Phase 2 study of MZE001 in patients with Pompe disease. The Company recognized $20.0 million as license revenue in the condensed statements of operations and comprehensive loss for the three months ended March 31, 2026 in connection with the achievement of the clinical development milestone and payment for the development milestone was received in April 2026. The Shionogi License Agreement also requires that Shionogi pay the Company tiered royalties ranging from percentages in the low double-digits to twenty on net sales of licensed products, subject to certain deductions.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the Shionogi License Agreement in accordance with ASC 606 and concluded that it was a contract with a customer. The Company determined that there is one performance obligation relating to the license to the MZE001 program, including the underlying know-how and certain related materials, and that the transaction price at the inception of the Shionogi License Agreement consisted of the $150.0 million non-refundable upfront cash payment, which was recognized as license revenue in the statements of operations and comprehensive loss during the year ended December 31, 2024 at the point in time when control of the license and related know-how and materials was transferred to Shionogi. The $20.0 million clinical development milestone was recognized as license revenue upon its achievement in March 2026. The remaining potential clinical and regulatory milestones represent variable consideration and were constrained as it was concluded that it was not probable that a significant reversal in cumulative revenue recognized will not occur and therefore are not included in the transaction price as of June 30, 2026. Potential sales milestones and royalties on net product sales will be recognized in the same period that the underlying net product sales occur as they were determined to relate to the license.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Neurocrine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an exclusive license agreement with Neurocrine Biosciences, Inc., or Neurocrine, pursuant to which the Company granted Neurocrine an exclusive worldwide license to a discovery research program targeting ATXN2, or the Neurocrine License Agreement. As consideration for the licensed rights and the transfer of know-how and materials, the Company received an upfront payment of $2.5 million in June 2024. Thereafter, the Company is entitled to potential subsequent payments of up to an aggregate of $24.8 million based on research and development milestones and up to an aggregate of $175.0 million based on sales milestones. The Company is also entitled to tiered royalties ranging in the sub-single-digit to low single-digit percentages on net sales of any licensed product if successfully commercialized.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the Neurocrine License Agreement in accordance with ASC 606 and concluded that it was a contract with a customer. The Company determined that there is one performance obligation relating to the license to the ATXN2 discovery program, including the underlying know-how and certain related materials, and that the transaction price consisted of the $2.5 million upfront cash payment. The potential research and development milestones represent variable consideration and were constrained as it was concluded that it was not probable that a significant reversal in cumulative revenue recognized will not occur and therefore not included in the transaction price as of June 30, 2026. Potential sales milestones and royalties on net product sales will be recognized in the same period that the underlying net product sales occur as they were determined to relate to the license. The $2.5 million transaction price was recorded as license revenue in the statements of operations and comprehensive loss during the year ended December 31, 2024, at the point in time when control of the license and the related know-how and materials was transferred to Neurocrine.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2026, the Company received notice from Neurocrine of its intent to terminate the Neurocrine License Agreement, effective November 2026, pursuant to the terms of the agreement. The Company does not expect the termination to have a material impact on its previously recognized license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No contingent liabilities have been recorded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Company’s amended and restated certificate of incorporation and amended and restated bylaws,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Consortium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 consortium agreement and certain related amended agreements with the University of Helsinki and other parties for access to a collaborative pre-competitive research project. The project aims to collect genomic information from patient samples in biobanks across Finland to which the Company is granted access. Under the agreement, the Company is obligated to pay certain installments through the year 2027. As of June 30, 2026, the Company is obligated to pay approximately $3.5 million under this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Loan and security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Hercules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2026, or the Closing Date, the Company entered into the Hercules Loan Agreement. The Hercules Loan Agreement provides for a senior secured term loan facility in an aggregate principal amount of up to $200.0 million, or the Hercules Term Loan Facility. An initial term loan of $40.0 million, or the Tranche 1A Loan, was funded under the Hercules Term Loan Facility on the Closing Date. In addition to the Tranche 1A Loan, the Hercules Term Loan Facility includes up to six additional term loan tranches providing up to an aggregate $160.0 million in additional loan commitments (collectively with the Tranche 1A Loan, the Term Loans). The final tranche of $50.0 million will be available subject to future approval by the lenders’ investment committee. The tranches will be available up to 60 months after the Closing Date, so long as the Company satisfies certain conditions precedent, including compliance with financial covenants, the continued accuracy of the representations and warranties provided in the Hercules Loan Agreement and satisfaction of certain performance and financing milestones.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Hercules Term Loan Facility has a maturity date of February 1, 2031, or the Maturity Date. Upon repayment of the Term Loans (whether at the Maturity Date or upon earlier prepayment), the Company is required to pay an exit fee, or the End of Term Charge, equal to (i) 3.95% of the principal amount being repaid, if repaid on or within 24 months of the Closing Date, (ii) 5.75% of the principal amount being repaid, if repaid more than 24 months after the Closing Date and on or within 48 months of the Closing Date, and (iii) 6.45% of the principal amount being repaid, if repaid thereafter. In addition, the Hercules Loan Agreement required the Company to pay a facility charge of 1.00% of the funded Tranche 1A Loan, which was due at the Closing Date, and requires a facility charge of 1.00% for each subsequent term loan tranche at the time such tranche is funded. The Company also paid a draw down fee of 2.00% of the funded Tranche 1A Loan and is required to pay subsequent draw down fees equal to 2.00% of each subsequent term loan tranche at the time such tranche is funded.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Hercules Term Loan Facility will accrue interest at an annual rate determined by reference to the Prime Rate as reported in the Wall Street Journal, with interest rate floors that range from 7.95% (with respect to the Tranche 1A Loan funded on the Closing Date, among other tranches) to 9.25% depending on the tranche. The Hercules Term Loan Facility provides for payment of interest only until (a) 48 months after the Closing Date or (b) if certain performance and financing milestones are satisfied, 60 months after the Closing Date. Accrued interest on the Term Loans is payable on the first business day of each month. Upon an Event of Default (as defined in the Hercules Loan Agreement), the interest rate will automatically increase by an additional 4.00%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Loans may be prepaid at any time, subject to a prepayment premium equal to (i) 3.00% of the aggregate outstanding principal amount being prepaid, if prepaid on or within 12 months of the Closing Date; (ii) 2.00% of the aggregate outstanding principal amount being prepaid, if prepaid more than 12 months after the Closing Date and on or within 24 months of the Closing Date; (iii) 1.00% of the aggregate outstanding principal amount being prepaid, if prepaid more than 24 months after the Closing Date and on or within 36 months of the Closing Date; and (iv) 0.00% thereafter, and the End of Term Charge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Hercules Loan Agreement, all of the Company’s obligations under the Hercules Loan Agreement are secured by a first lien perfected security interest on substantially all of the Company’s existing and after-acquired assets, subject to customary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Hercules Loan Agreement contains certain representations and warranties, affirmative covenants, negative covenants, financial covenants, and conditions that are customarily required for similar financings. In addition, unless either (i) the Company’s market capitalization is greater than or equal to $450.0 million and an aggregate of no more than $85.0 million in principal amount is outstanding under the Term Loans or (ii) the Company’s market capitalization is greater than or equal to $750.0 million, the Company must at all other times maintain unrestricted cash and cash equivalents of at least 50% of the outstanding loan amount, decreasing to 40% and 35% upon satisfaction of certain performance and financing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Hercules Loan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material regulatory-related events and events constituting a change of control. The occurrence of an Event of Default could result in, among other things, the declaration that all outstanding principal and interest under the Hercules Term Loan Facility are immediately due and payable in whole or in part. As of June 30, 2026, the Company was in compliance with the covenants under the Hercules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End of Term Charge, facility charge, and other direct costs incurred in connection with the Tranche 1A Loan of the Hercules Loan Agreement as debt discount and issuance costs, and they are being amortized over the term of the loan using the effective interest method. The weighted-average effective interest rate on the Tranche 1A Loan is 9.77%.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interest expense on the Tranche 1A Loan, including the amortization of debt discount and issuance costs, of $0.9 million and $1.8 million during the three and six months ended June 30, 2026,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Tranche 1A Loan consists of the following:</w:t>
      </w:r>
    </w:p>
    <w:p>
      <w:pPr>
        <w:pStyle w:val="TextBody"/>
        <w:bidi w:val="0"/>
        <w:jc w:val="left"/>
        <w:rPr/>
      </w:pPr>
      <w:r>
        <w:rPr/>
        <w:t> </w:t>
      </w:r>
    </w:p>
    <w:tbl>
      <w:tblPr>
        <w:tblW w:w="5028" w:type="dxa"/>
        <w:jc w:val="left"/>
        <w:tblInd w:w="0" w:type="dxa"/>
        <w:tblLayout w:type="fixed"/>
        <w:tblCellMar>
          <w:top w:w="28" w:type="dxa"/>
          <w:left w:w="28" w:type="dxa"/>
          <w:bottom w:w="28" w:type="dxa"/>
          <w:right w:w="28" w:type="dxa"/>
        </w:tblCellMar>
      </w:tblPr>
      <w:tblGrid>
        <w:gridCol w:w="3451"/>
        <w:gridCol w:w="146"/>
        <w:gridCol w:w="271"/>
        <w:gridCol w:w="869"/>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principal loan payments on the currently outstanding Tranche 1A Loan as June 30, 2026 are as follows:</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3886"/>
        <w:gridCol w:w="146"/>
        <w:gridCol w:w="267"/>
        <w:gridCol w:w="858"/>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end of term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Banc of California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entry into the Hercules Loan Agreement, the loan and security agreement for a $50.0 million revolving line of credit with Banc of California dated June 27, 2022, as amended in March 2025, was terminated, effective as of February 2, 2026, and the lender’s security interest in the Company’s assets and property was released.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paid fees to its founders and certain board members in exchange for consulting services. During the three and six months ended June 30, 2026 and 2025, the Company recorded an immaterial amount of such fees in general and administrative expenses in the condensed statements of operations and comprehensive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43,807,793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weighted-average shares of common stock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weighted-average shares of common stock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in the calculation of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58,995,934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43,797,421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56,460,660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36,254,828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potential shares of common stock that were excluded from the computation of diluted net loss per share attributable to common stockholders for the periods presented because including them would have been antidilutive are as follows:</w:t>
      </w:r>
    </w:p>
    <w:p>
      <w:pPr>
        <w:pStyle w:val="TextBody"/>
        <w:bidi w:val="0"/>
        <w:jc w:val="left"/>
        <w:rPr/>
      </w:pPr>
      <w:r>
        <w:rPr/>
        <w:t> </w:t>
      </w:r>
    </w:p>
    <w:tbl>
      <w:tblPr>
        <w:tblW w:w="7014" w:type="dxa"/>
        <w:jc w:val="left"/>
        <w:tblInd w:w="0" w:type="dxa"/>
        <w:tblLayout w:type="fixed"/>
        <w:tblCellMar>
          <w:top w:w="28" w:type="dxa"/>
          <w:left w:w="28" w:type="dxa"/>
          <w:bottom w:w="28" w:type="dxa"/>
          <w:right w:w="28" w:type="dxa"/>
        </w:tblCellMar>
      </w:tblPr>
      <w:tblGrid>
        <w:gridCol w:w="4231"/>
        <w:gridCol w:w="146"/>
        <w:gridCol w:w="146"/>
        <w:gridCol w:w="931"/>
        <w:gridCol w:w="146"/>
        <w:gridCol w:w="146"/>
        <w:gridCol w:w="146"/>
        <w:gridCol w:w="931"/>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5,347,639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5,358,011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d_analy"/>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The following discussion should be read in conjunction with the unaudited condensed financial statements and notes thereto included in Part I, Item 1 of this Quarterly Report on Form 10-Q; and the sections entitled “Business” and “Management’s Discussion and Analysis of Financial Condition and Results of Operations” contained in our Annual Report on Form 10-K for the year ended December 31, 2025 as filed with the SEC on March 25, 2026, or 2025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harnessing the power of human genetics to develop novel, small molecule precision medicines for patients living with kidney and metabolic diseases. We are advancing a pipeline using our Compass platform, which allows us to identify and characterize genetic variants associated with health and disease and then determine how these drive risk for and protection against disease in specific patient groups through a process we refer to as variant functionalization. Our Compass platform has been purpose-built to inform all phases of our drug discovery and development process through clinical trial design. We are currently advancing two wholly-owned clinical programs, MZE829 and MZE782, each of which represents a novel precision medicine-based approach. Our goal is to bring novel precision medicines to patients with kidney and metabolic diseases, which is where we believe we can maximize our impact on human health.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most advanced program, MZE829, is an oral, small molecule, dual-mechanism inhibitor of apolipoprotein L1, or APOL1, for the treatment of patients with APOL1-mediated kidney disease, or AMKD, a genetically defined sub-set of chronic kidney disease, or CKD, for which there is no approved treatment today. We initiated a Phase 2 trial of MZE829 in November 2024 and dosed our first patient in February 2025. In March 2026, we announced positive topline clinical proof of concept data from our Phase 2 trial of MZE829 in patients with AMKD, in which we enrolled 15 patients. The results demonstrated that treatment with MZE829 led to a clinically meaningful mean reduction in proteinuria, as measured by urinary albumin-to-creatinine ratio. MZE829 was generally well tolerated, with no serious adverse events or severe treatment-related adverse events reported. We plan to continue enrollment in the Phase 2 trial and anticipate reporting additional data from this trial in late 2026 or early 2027. In addition, we plan to initiate a pivotal trial of MZE829 in the first half of 2027, subject to regulatory feedback.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second program, MZE782, is an oral, small molecule inhibitor for the treatment of patients with phenylketonuria, or PKU, an inherited metabolic disorder, and for the treatment of patients with CKD. In September 2025, we reported results from our Phase 1 clinical trial of MZE782, in which we enrolled 112 healthy adult volunteers. MZE782 was well tolerated across all doses in all cohorts and demonstrated a favorable pharmacokinetics profile after single and multiple oral doses. MZE782 produced dose-dependent increases in 24-hour urinary excretion of the neutral amino acids phenylalanine and glutamine across both single ascending dose and multiple ascending dose cohorts, confirming target engagement and SLC6A19 inhibition. We also observed dose-dependent changes in estimated glomerular filtration rate in healthy individuals with MZE782, similar to those seen with SGLT2 inhibitors, suggesting a potential beneficial effect on kidney physiology in CKD patients. In August 2026, we announced that the Phase 2 proof-of-concept trial of MZE782 in patients with PKU has initiated and we anticipate reporting topline data from this trial in 2027. We plan to initiate a Phase 2 proof-of-concept trial of MZE782 in patients with CKD in the first half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focused substantially all of our efforts and financial resources on research and development activities for our programs and on establishing arrangements and collaborations with third parties for the development of our therapeutic candidates. To date, we have not generated any revenue from product sales and have financed our operations primarily through sales of our equity and convertible promissory notes, debt financing, as well as one-time, nonrefundable upfront payments we received pursuant to the license agreements we entered into with several biotechnology companies in 2024, including the exclusive license agreement with Shionogi &amp; Company, Ltd., or Shionogi. We do not expect to generate any revenue from commercial sales for the foreseeable future. We expect to continue incurring significant operating losses for the foreseeable future due to the cost of research and development, clinical trials, preclinical studies and the regulatory approval process for our therapeutic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and we expect to incur significant and increasing losses for the foreseeable future as a result of our continued research and development activities. During the three and six months ended June 30, 2026, we incurred a net loss of $44.7 million and $68.9 million, respectively. During the three and six months ended June 30, 2025, we incurred a net loss of $33.7 million and $66.5 million, respectively. As of June 30, 2026, we had an accumulated deficit of $558.5 million and do not expect positive cash flows from operations for the foreseeable future. Our net losses may fluctuate significantly from period to period, depending on the timing of and expenditures on our planned research and development activities, as well as upon revenue from our license agreements. We expect our research and development expenses to significantly increase in connection with the conduct of planned clinical trials for our lead programs, MZE829 and MZE782, further development of our Compass platform, planned preclinical studies, and potential Investigational New Drug Applications, or INDs, and clinical trials for future therapeutic candidates. We will also incur substantial additional expenses as we seek to expand our intellectual property portfolio, including through potential in-licensing opportunities, and hire additional personnel as we scale up our operations. In addition, we expect to incur additional costs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$494.9 million. Since our inception, we have financed our operations primarily through issuances of our equity and convertible promissory notes, debt financing, and license agreements with biotechnology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develop our therapeutic candidates and fund operations for the foreseeable future. Until such time as we can generate sufficient revenue from product sales, if ever, we expect to finance our operations through a combination of public or private equity offerings, debt financings, collaborations and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clinical and preclinical development, research and development programs, our commercialization plans or other operations. The amount and timing of our future funding requirements will depend on many factors including the pace and results of our development efforts. We cannot assure that we will ever be profitable or generate positive 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selectively pursue strategic collaborations related to the development of certain targets, therapeutic programs, or disease areas where we believe third-party expertise or resources could be beneficial. In 2020, we formed a spin-out company, Broadwing Bio LLC, or Broadwing, with Alloy Therapeutics, Inc., or Alloy, to develop therapeutic antibody therapies for ANGPTL7 and another undisclosed target in ophthalmic diseases, informed by our Compass platform. As of June 30, 2026, we owned approximately 48% of the outstanding equity of Broadwing, and we expect our ownership to be significantly diluted upon the conversion of outstanding convertible notes issued by Broadwing. We retain certain opt-in rights to jointly develop and commercialize certain therapeutic candidates developed through Broadwing with Alloy. We are not involved in the development of Broadwing’s therapeutic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Exclusive license agreement with Shionogi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we entered into an exclusive license agreement, or the License Agreement, with Shionogi, pursuant to which we granted Shionogi an exclusive, worldwide, sublicensable license to research, develop, manufacture and commercialize MZE001 and certain other small molecule compounds modulating glycogen synthase 1, or the Licensed Products. As consideration for the licensed rights and the transfer of know-how and materials, we received an upfront payment of $150.0 million in May 2024 upon the effectiveness of the License Agreement. The License Agreement also requires that Shionogi pay us up to $275.0 million in the aggregate in milestone payments upon the completion of certain clinical development and regulatory milestones and up to $330.0 million in the aggregate in milestone payments if certain sales milestones are achieved. In April 2026, we received $20.0 million following the achievement of a clinical development milestone upon dosing of the first patient in Shionogi's Phase 2 study of MZE001 in patients with Pompe disease. The License Agreement also requires that Shionogi pay us tiered royalties ranging from percentages in the low double-digits to twenty on net sales of Licensed Products, subject to certain deductions.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License Agreement will expire on a Licensed-Product by Licensed-Product and country-by-country basis upon the expiration of the royalty term for such Licensed Product, which will be the latest of the date when there are no remaining valid claims covering the applicable Licensed Product, the expiration of regulatory exclusivity for the applicable Licensed Product, or 11 years after the first commercial sale of the applicable Licensed Product, subject to earlier termination by the parties. As of June 30, 2026, we estimate that the last patent right for the only currently issued patent licensed under the License Agreement will expire in 2042, without giving effect to any potential patent term extensions, patent term adjustments</w:t>
      </w:r>
      <w:r>
        <w:rPr>
          <w:rFonts w:ascii="Times New Roman" w:hAnsi="Times New Roman"/>
          <w:b/>
          <w:color w:val="000000"/>
          <w:sz w:val="20"/>
        </w:rPr>
        <w:t>,</w:t>
      </w:r>
      <w:r>
        <w:rPr>
          <w:rFonts w:ascii="Times New Roman" w:hAnsi="Times New Roman"/>
          <w:color w:val="000000"/>
          <w:sz w:val="20"/>
        </w:rPr>
        <w:t xml:space="preserve"> or future patents that may or may not issue with respect to the Licensed Products. Upon expiration of the License Agreement, the licenses granted to Shionogi will become fully paid-up, perpetual, irrevocable and royalty-free. Shionogi may terminate the License Agreement for convenience following a notice period and either party may terminate the License Agreement for bankruptcy or an uncured material breach. Upon termination of the License Agreement by Shionogi for convenience or by us for Shionogi’s bankruptcy or uncured material breach, Shionogi will grant us a non-exclusive, worldwide license under certain patent rights and know-how controlled by Shionogi as of the effective date of termination, solely as necessary to research, develop, manufacture and commercialize the Licensed Products in any field, and Shionogi will assign to us all regulatory materials and regulatory approvals relating to the Licensed Products. In consideration for these reversion rights, we would be required to pay to Shionogi reversion royalties on any sales of the Licensed Products determined based on the stage of clinical development of the applicable Licensed Product at the time of termination, ranging from percentages in the low-to-mid single digits if termination occurs on or after the achievement of certain Phase 2 clinical trial milestones and high single digit to mid-teens if termination occurs on or after the achievement of certain Phase 3 clinical milestones. Our obligation to pay these reversion royalties would expire on a Licensed-Product by Licensed-Product and country-by-country basis upon the latest of the date when there are no remaining valid claims covering the applicable Licensed Product, the expiration of regulatory exclusivity for the applicable Licensed Product, or ten years after the first commercial sale of the applicable Licensed Product.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from the various license agreements we have entered into as the identified performance obligations under these arrangements are satisfied. We are also eligible to receive future non-refundable, non-creditable milestone payments upon the achievement of certain development, regulatory, and commercial milestones. Additionally, we are also eligible to receive certain royalties on net sales of products developed under the license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since inception have consisted solely of research and development expenses and general and administrative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external and internal expenses incurred in connection with our research activities and preclinical and clinical development programs. These expenses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salaries, benefits and other employee-related costs, including stock-based compensation expense, for personnel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vendors that conduct certain research and development activities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contract manufacturing organizations, or CMOs, in connection with the production of research products and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clinical research organizations, or CROs, in connection with clinical trials as well as preclinical and toxicology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associated with laboratory supplies and other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service fees for consulting and related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 costs, depreciation, and other expenses, which include expenses for rent and maintenance of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research and development expenses as incurred. Nonrefundable advance payments for goods or services to be used in future research and development activities are capitalized and expensed as the related goods are received or services are performed. Direct external research and development costs are recorded to the specific programs they support. Internal research and development costs, including personnel, facility and laboratory supplies, are utilized across multiple research and development programs and are therefore not directly attributable to any single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development of, and obtain regulatory approval for, MZE829, MZE782 and any of our other potential therapeutic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expenses may vary significantly based on a variety of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clinical development activities for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hire clinical, regulatory, manufacturing, quality assurance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trials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our products or technologies, including to maintain and expand our Compass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clinical manufacturing capabilities or secure adequate supply of product from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establish additional strategic collaborations or other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and other variables with respect to the development of any of our therapeutic candidates could significantly change the costs and timing associated with the development of such therapeutic candidate. We expect that our research and development expenses will continue to increase substantially for the foreseeable future as we continue to identify and develop potential additional therapeutic candidates and as our existing therapeutic candidates, including MZE829 and MZE782, move into later stages of clinical development, which typically have higher development costs than those in earlier stages of clinical development or preclinical development due to the increased size and duration of later-stage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conducting the necessary preclinical and clinical research and development to obtain regulatory approval is costly and time-consuming and the successful development of our therapeutic candidates is highly uncertain. The actual probability of success for our therapeutic candidates may be affected by a variety of factors. We may never succeed in achieving regulatory approval for any of our therapeutic candidates. Further, a number of factors, including those outside of our control, could adversely impact the timing and duration of our therapeutic candidates’ development, which could increase our research and development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personnel in executive, finance, accounting, corporate development, and other administrative functions. General and administrative expenses also include legal fees, professional fees paid for accounting, auditing, consulting, tax, and investor relations services, insurance costs, and facility costs not otherwise included in research and development expenses, and public company expenses such as costs associated with compliance with the rules and regulations of the Securities and Exchange Commission, or SEC, and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significantly in the foreseeable future as additional administrative personnel and services are required to manage these functions associated with being a public company and as our pipeline of therapeutic candidates expands.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primarily consists of interest income earned on our cash, cash equivalents and marketable securities and interest expense recognized on the loan and security agreement, or the Hercules Loan Agreement, with certain lenders and Hercules Capital, Inc. We expect total other income, net to increase as a result of additional interest income on the proceeds received from the initial term loan of $40.0 million under the Hercules Loan Agreement and the net proceeds of approximately $144.6 million from the underwritten registered offering completed in April 2026, which is expected to be partially offset by interest expense recognized on the Hercules Loan Agreement. However, other income, net may vary each reporting period depending on our average cash deposits, money market fund and other investment balances during the period, prevailing market interest rates and the amount of interest expense incurred under the Hercules Loan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Comparisons of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6"/>
        <w:gridCol w:w="146"/>
        <w:gridCol w:w="211"/>
        <w:gridCol w:w="736"/>
        <w:gridCol w:w="166"/>
        <w:gridCol w:w="146"/>
        <w:gridCol w:w="211"/>
        <w:gridCol w:w="736"/>
        <w:gridCol w:w="166"/>
        <w:gridCol w:w="146"/>
        <w:gridCol w:w="211"/>
        <w:gridCol w:w="736"/>
        <w:gridCol w:w="166"/>
        <w:gridCol w:w="146"/>
        <w:gridCol w:w="211"/>
        <w:gridCol w:w="736"/>
        <w:gridCol w:w="166"/>
        <w:gridCol w:w="146"/>
        <w:gridCol w:w="211"/>
        <w:gridCol w:w="736"/>
        <w:gridCol w:w="166"/>
        <w:gridCol w:w="146"/>
        <w:gridCol w:w="211"/>
        <w:gridCol w:w="676"/>
        <w:gridCol w:w="591"/>
      </w:tblGrid>
      <w:tr>
        <w:trPr/>
        <w:tc>
          <w:tcPr>
            <w:tcW w:w="2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no license revenue for the three months ended June 30, 2026 and $20.0 million in license revenue for the six months ended June 30, 2026. We recognized no license revenue for the three and six months ended June 30, 2025. License revenue recognized in 2026 was related to achievement of a clinical development milestone upon dosing of the first patient in Shionogi's Phase 2 study of MZE001 in patients with Pompe disease under the License Agreement with Shionogi.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$34.9 million and $28.1 million for the three months ended June 30, 2026 and 2025, respectively. The increase of $6.8 million between the comparative three month periods was primarily due to an increase of $4.3 million in personnel-related costs due to an increase in headcount and higher non-cash stock-based compensation expense, an increase of $3.2 million related to progression of our clinical development of the MZE829 program and an increase of $0.9 million related to our discovery research and other programs, partially offset by a $1.4 million decrease related to the MZE782 program primarily due to higher costs incurred in 2025 for the Phase 1 clinical trial in healthy adult volunteers that completed in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were $69.1 million and $55.7 million for the six months ended June 30, 2026 and 2025, respectively. The increase of $13.4 million between the comparative six month periods was primarily due to an increase of $7.9 million in personnel-related costs due to an increase in headcount and higher non-cash stock-based compensation expense, an increase of $5.7 million related to progression of our clinical development of the MZE829 program and an increase of $0.9 million related to our discovery research and other programs, partially offset by a $0.5 million decrease related to the MZE782 program primarily due to higher costs incurred in 2025 for the Phase 1 clinical trial in healthy adult volunteers that completed in 2025 and a $0.6 million decrease in lab supplies and other costs.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1"/>
        <w:gridCol w:w="146"/>
        <w:gridCol w:w="211"/>
        <w:gridCol w:w="676"/>
        <w:gridCol w:w="146"/>
        <w:gridCol w:w="146"/>
        <w:gridCol w:w="211"/>
        <w:gridCol w:w="676"/>
        <w:gridCol w:w="146"/>
        <w:gridCol w:w="146"/>
        <w:gridCol w:w="211"/>
        <w:gridCol w:w="631"/>
        <w:gridCol w:w="166"/>
        <w:gridCol w:w="146"/>
        <w:gridCol w:w="211"/>
        <w:gridCol w:w="676"/>
        <w:gridCol w:w="146"/>
        <w:gridCol w:w="146"/>
        <w:gridCol w:w="211"/>
        <w:gridCol w:w="676"/>
        <w:gridCol w:w="146"/>
        <w:gridCol w:w="146"/>
        <w:gridCol w:w="211"/>
        <w:gridCol w:w="676"/>
        <w:gridCol w:w="41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MZE829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MZE782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Discovery research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lab supplies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$13.1 million and $8.4 million for the three months ended June 30, 2026 and 2025, respectively. The increase of $4.7 million between the comparative three month periods was primarily due to an increase in personnel-related costs due to an increase in headcount and higher non-cash stock-based compensation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were $25.5 million and $16.2 million for the six months ended June 30, 2026 and 2025, respectively. The increase of $9.3 million between the comparative six month periods was primarily due to an increase of $8.0 million in personnel-related costs due to an increase in headcount and higher non-cash stock-based compensation expense and an increase of $0.7 million for professional services.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$3.3 million and $2.8 million for the three months ended June 30, 2026 and 2025, respectively. The increase of $0.5 million between the comparative three months periods primarily reflects an increase in interest income as a result of higher cash, cash equivalent, and marketable securities balances held during the three months ended June 30, 2026 resulting from the net proceeds received from the underwritten registered offering completed in April 2026 and proceeds from the initial term loan funded under the Hercules Loan Agreement in February 2026, partially offset by interest expense recognized on the Hercules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other income, net was $5.7 million and $5.4 million for the six months ended June 30, 2026 and 2025, respectively. The increase of $0.3 million between the comparative six months periods primarily reflects an increase in interest income as a result of higher cash, cash equivalent, and marketable securities balances held during the six months ended June 30, 2026 resulting from the net proceeds received from the underwritten registered offering completed in April 2026 and proceeds from the initial term loan funded under the Hercules Loan Agreement in February 2026, partially offset by interest expense recognized on the Hercules Loan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we do not expect to generate any revenue from commercial sales for the foreseeable future, if at all. We have incurred significant operating losses and negative cash flows from operations. We anticipate that we will continue to incur net losses for the foreseeable future. To date, we have financed our operations primarily through sales of our equity and convertible promissory notes, debt financing, as well as one-time, nonrefundable upfront payments we received pursuant to the license agreements we entered into with several biotechnology companies in 2024, including the exclusive license agreement with Shionogi. As of June 30, 2026, we had cash, cash equivalents and marketable securities of $494.9 million and an accumulated deficit of $558.5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we entered into an Open Market Sale Agreement with Jefferies LLC, serving as sales agent, with respect to an at-the-market offering program pursuant to which we may elect to issue and sell shares of our common stock having an aggregate offering price of up to $200.0 million, or the 2026 Sale Agreement, in such quantities and on such minimum price terms as we set from time to time through our sales agent. We have agreed to pay our sales agent an aggregate commission equal to up to 3.0% of the gross proceeds of the sales under the agreement. To date, no sales of common stock have occurred under the 2026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February 2026, we entered into the Hercules Loan Agreement which provides for a senior secured term loan facility in an aggregate principal amount of up to $200.0 million. An initial term loan of $40.0 million was funded under the Hercules Loan Agreement and an aggregate of $160.0 million in additional term loans commitments will be available to us through February 2031, so long as we satisfy certain conditions precedent. The final tranche of $50.0 million is subject to approval by the lenders’ investment committee. The facility has a maturity date of February 1, 2031, and may be prepaid at any time, subject to prepayment premiums. This senior secured term facility will accrue interest at an annual rate determined by reference to the Prime Rate as reported in the Wall Street Journal, with interest rate floors that range from 7.95% to 9.25% depending on the tranche. The Hercules Term Loan Facility provides for payment of interest only until (a) 48 months after the Closing Date or (b) if certain performance and financing milestones are satisfied, 60 months after the Closing Date. Accrued interest on the Term Loans is payable on the first business day of each month. In connection with the Hercules Loan Agreement, we terminated an existing loan and security agreement with another bank that provided us with a line of credit of up to $50.0 million. We did not draw down any funds from this terminated debt facility. See Note 10, Loan and security agreements, of this Quarterly Report on Form 10-Q for further discussion of the Hercules Loan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we completed an underwritten registered offering pursuant to which we issued and sold an aggregate of 5,540,000 shares of our common stock at a purchase price of $23.50 per share and pre-funded warrants to purchase up to an aggregate of 850,000 shares of our common stock, or the 2026 Pre-Funded Warrants, at a purchase price of $23.499 per pre-funded warrant, which represents the per share offering price for the shares of common stock less a $0.001 per share exercise price for each pre-funded warrant, resulting in net proceeds of approximately $144.6 million, after deducting underwriting discounts and commissions and estimated offering expenses, or the Underwritten Registered Offering. See Note 6, Capital structure, of this Quarterly Report on Form 10-Q for further discussion of the Underwritten Registered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cash, cash equivalents and marketable securities will be sufficient to fund our operations for at least one year from the date of this Quarterly Report on Form 10-Q. We have based this estimate on our current assumptions, which may prove to be wrong, and we may exhaust our available capital resources sooner than we expect.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expect to generate any meaningful future revenue unless and until we obtain regulatory approval and commercialize any of our current or future therapeutic candidates, including MZE829 and MZE782, or receive additional potential revenue from the achievement of milestones and royalties under our existing license agreements or potential additional partnerships, and we do not know when, or if at all, that will occur. We will continue to require additional capital to develop our therapeutic candidates and fund operations for the foreseeable future. Our primary uses of cash are to fund our operations, which consist primarily of research and development expenses related to our programs, and to a lesser extent, general and administrative expenses. We expect our expenses to continue to increase in connection with our ongoing activities as we continue to develop MZE829, MZE782 and our other discovery and preclinical programs, seek to broaden the pipeline of our product candidates and further develop our Compass platform. In addition, we expect to incur additional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to raise capital through equity or debt financings, license and collaboration agreements or other arrangements,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the type, scope, progress and results of research and discovery, preclinical development, laboratory testing and clinical trials for our current or future therapeutic candidates, including MZE829 and MZE782;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develop, in-license or acquire other pipeline therapeutic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development requirements of other therapeutic candidates that we may pursue, and other indications for our current therapeutic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entering into partnerships or other arrangements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regulatory approvals of our current or future therapeutic candidates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our products or technologies, including to maintain and expand our Compass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making arrangements with third-party manufacturers for preclinical, clinical and commercial supplies of our current or future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involved in growing our organization to the size needed to allow for the research, development and potential commercialization of our current or future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commercializing any approved therapeutic candidates, including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completing any post-marketing studies or trials required by the U.S. Food and Drug Administration, or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current or future therapeutic candidates, if any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addressing any potential interruptions or delays resulting from factors related to overall global affairs, such as conflicts overseas;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defending and enforcing our intellectual property and proprietary rights and defending intellectual property-related claims that we may become subject to, including any litigation costs and the outcome of such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product liability claims, including the costs associated with obtaining insurance against such claims and with defending against such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 arrangements on favorable terms, if at all and the timing and amount of any milestone, royalty or other payments we are required to make or are eligible to receive under such collaborations,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that we raise or additional equity that we issue may contain terms that are not favorable to us or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licensing arrangements with third parties, we may have to relinquish valuable rights to our proprietary technology, future revenue streams, research programs or therapeutic candidates, including granting licenses to our proprietary technologies,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therapeutic candidates that we would otherwise prefer to develop and market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operating lease for a facility in South San Francisco, California with office and laboratory space, which serves as our corporate headquarters. The lease terminates in November 2030 and provides for one option to extend the lease term for an additional period of eight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consortium agreements with the University of Helsinki to access genomic information from patient samples and genetic and paired clinical data. As of June 30, 2026, we are obligated to pay $3.5 million under these agreements through the year ended December 31,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obligated to make principal loan payments, interest payments and pay an end of term charge under the Hercules Loan Agreement. See Note 10, Loan and security agreements, of this Quarterly Report on Form 10-Q for further discussion of the Hercules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organizations for preclinical trials, non-clinical trials and testing, and other services and products for operating purposes. These contracts generally provide for termination following a certain period after notice.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Comparisons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w:t>
      </w:r>
    </w:p>
    <w:p>
      <w:pPr>
        <w:pStyle w:val="TextBody"/>
        <w:bidi w:val="0"/>
        <w:jc w:val="left"/>
        <w:rPr/>
      </w:pPr>
      <w:r>
        <w:rPr/>
        <w:t> </w:t>
      </w:r>
    </w:p>
    <w:tbl>
      <w:tblPr>
        <w:tblW w:w="9168" w:type="dxa"/>
        <w:jc w:val="left"/>
        <w:tblInd w:w="0" w:type="dxa"/>
        <w:tblLayout w:type="fixed"/>
        <w:tblCellMar>
          <w:top w:w="28" w:type="dxa"/>
          <w:left w:w="28" w:type="dxa"/>
          <w:bottom w:w="28" w:type="dxa"/>
          <w:right w:w="28" w:type="dxa"/>
        </w:tblCellMar>
      </w:tblPr>
      <w:tblGrid>
        <w:gridCol w:w="4911"/>
        <w:gridCol w:w="146"/>
        <w:gridCol w:w="211"/>
        <w:gridCol w:w="841"/>
        <w:gridCol w:w="166"/>
        <w:gridCol w:w="146"/>
        <w:gridCol w:w="211"/>
        <w:gridCol w:w="781"/>
        <w:gridCol w:w="166"/>
        <w:gridCol w:w="146"/>
        <w:gridCol w:w="211"/>
        <w:gridCol w:w="841"/>
        <w:gridCol w:w="39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$54.2 million and $59.6 million for the six months ended June 30, 2026 and 2025, respectively. The net cash used in operating activities for the six months ended June 30, 2026 was primarily due to our net loss of $68.9 million combined with a net change in our operating assets and liabilities of $4.6 million, offset by $19.3 million in non-cash charges such as depreciation, stock-based compensation, lease expense and amortization of debt discount and debt issuance costs. The net cash used in operating activities for the six months ended June 30, 2025 was primarily due to our net loss of $66.5 million combined with a net change in our operating assets and liabilities of $2.5 million, offset by $9.4 million in non-cash charges such as depreciation, stock-based compensation and lease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$122.2 million and $0.7 million for the six months ended June 30, 2026 and 2025. The net cash used in investing activities for the six months ended June 30, 2026 consisted of purchases of marketable securities of $186.0 million and purchases of property and equipment of $0.2 million, offset by maturities of marketable securities of $64.0 million. Net cash used in investing activities for the six months ended June 30, 2025 consisted of purchases of property and equipment of $0.7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was $189.8 million, which consisted of net proceeds of approximately $144.6 million from the issuance of common stock and 2026 Pre-Funded Warrants pursuant to the Underwritten Registered Offering, net proceeds of $38.5 million from the Hercules Loan Agreement, $5.8 million from the exercise of stock option awards and $1.0 million from the issuance of common stock under the 2025 Employee Stock Purchase Plan. For the six months ended June 30, 2025, net cash provided by financing activities was $128.0 million, which consisted of net proceeds of approximately $127.8 million from the issuance of common stock pursuant to our initial public offering, $0.6 million from the issuance of common stock under the 2025 Employee Stock Purchase Plan and $0.1 million from the exercise of stock option awards, offset by the payment of $0.5 million for the success fee under the loan and security agreement with Banc of California.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described in detail in the notes to our condensed financial statements included elsewhere in this Quarterly Report on Form 10-Q. We described the accounting policies that we believe involve a significant level of estimation and uncertainty, which could have a material impact on our financial condition or results of operations and are therefore deemed critical accounting policies, in our “Management’s Discussion and Analysis of Financial Condition and Results of Operations” included in our Annual Report on Form 10-K for the year ended December 31, 2025, as filed with the SEC on March, 25, 2026. There have been no significant changes in our critical accounting policies and estimates during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U.S. generally accepted accounting principles for interim financial information. The preparation of these condensed financial statements requires us to make estimates and assumptions that affect the reported amounts of assets and liabilities and the disclosure of contingent assets and liabilities as of the date of the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or EGC. The Jumpstart Our Business Startups Act of 2012, or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intend to rely on the other exemptions and reduced reporting requirements provided by the JOBS Act. Subject to certain conditions set forth in the JOBS Act, if, as an EGC, we intend to rely on such exemptions, we are not required to, among other things:(i) provide an auditor’s attestation report on our system of internal controls over financial reporting pursuant to Section 404(b) of the Sarbanes-Oxley Act of 2002, as amended;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EGC under the JOBS Act until the earliest of (i) the last date of our fiscal year in which we have total annual gross revenue of at least $1.235 billion, (ii) the date we qualify as a “large accelerated filer,” as defined under Rule 12b-2 of the Exchange Act, (iii) the date on which we have issued more than $1.0 billion in non-convertible debt securities during the previous three years, or (iv) the last day of our first fiscal year following the fifth anniversary of the closing of our initial public offering.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to our unaudited condensed financial statements included in Part 1, Item 1, “Financial Statements (Unaudited),” of this Quarterly Report on Form 10-Q for a description of recent accounting pronouncements applicable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3_quantitative_and"/>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that may result from changes in interest rates and foreign currency exchange rates.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Investments in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we had cash, cash equivalents and marketable securities of $494.9 million and $360.0 million, respectively. This consisted of interest-bearing money market accounts and investments in U.S. government securities, commercial paper, and corporate debt securities, which create an exposure to interest rate risk. Our future interest income may fall short of expectations due to changes in market conditions and in interest rates and such changes in interest rates may affect the fair value of the marketable securities held in our portfolio and cause unrealized gains or losses. Such gains or losses would not be realized unless the investments are sold. A hypothetical one percent increase in interest rates as of June 30, 2026 and December 31, 2025 would not have resulted in a material effect on the fair market value of our cash, cash equivalents and marketable securities.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an outstanding term loan with a carrying value of $39.0 million bearing interest at a rate equal to the greater of (i) 7.95% or (ii) the prime rate plus 0.95%. A hypothetical one percent increase in the prime rate as of June 30, 2026 would not have resulted in a material effect on the fair market value of our debt. In addition, a hypothetical one percent increase in the prime rate as of June 30, 2026 would not result in a material impact to our income for the year ending December 31, 2026. We did not have any outstanding debt as of December 31,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transactions occur in U.S. dollars. However, we do have certain transactions that are denominated in currencies other than the U.S. dollar, primarily the euro and British pound, and we therefore are subject to foreign exchange risk. The fluctuation in the value of the U.S. dollar against other currencies affects the reported amounts of expenses, assets and liabilities primarily associated with a limited number of preclinical, clinical and manufacturing activities. We do not hedge our foreign currency exchange rate risk, however, we may do so in the future. As of June 30, 2026 and December 31, 2025, we had no material accounts payable or receivable denominated in foreign currencies, and a hypothetical 10% change in foreign currency exchange rates applicable to our business would not have a material impact on our condensed financial statements.</w:t>
      </w:r>
    </w:p>
    <w:p>
      <w:pPr>
        <w:pStyle w:val="TextBody"/>
        <w:bidi w:val="0"/>
        <w:spacing w:before="360" w:after="283"/>
        <w:jc w:val="left"/>
        <w:rPr>
          <w:rFonts w:ascii="Times New Roman" w:hAnsi="Times New Roman"/>
          <w:sz w:val="20"/>
        </w:rPr>
      </w:pPr>
      <w:bookmarkStart w:id="12" w:name="item_9a_controls_and_procedures"/>
      <w:bookmarkEnd w:id="12"/>
      <w:r>
        <w:rPr>
          <w:rFonts w:ascii="Times New Roman" w:hAnsi="Times New Roman"/>
          <w:b/>
          <w:color w:val="000000"/>
          <w:sz w:val="20"/>
        </w:rPr>
        <w:t>Item 4. Contro</w:t>
      </w:r>
      <w:bookmarkStart w:id="13" w:name="item_4_controls_and_procedures"/>
      <w:bookmarkEnd w:id="13"/>
      <w:r>
        <w:rPr>
          <w:rFonts w:ascii="Times New Roman" w:hAnsi="Times New Roman"/>
          <w:b/>
          <w:color w:val="000000"/>
          <w:sz w:val="20"/>
        </w:rPr>
        <w:t>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management, including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U.S. Securities and Exchange Commission, or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2026, the design and operation of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quarter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arising in the ordinary course of business.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w:t>
      </w:r>
    </w:p>
    <w:p>
      <w:pPr>
        <w:pStyle w:val="TextBody"/>
        <w:bidi w:val="0"/>
        <w:spacing w:before="360" w:after="12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faces significant risks and uncertainties, and those described below may not be the only risks and uncertainties we face. We cannot assure you that any of the events discussed below will not occur. You should carefully consider the following risk factors, together with the information contained herein and in our Annual Report on Form 10-K for the year ended December 31, 2025, filed with the Securities and Exchange Commission, or SEC, on March 25, 2026, including our financial statements and the related notes, and our other filings with the SEC, before deciding whether to invest in our common stock. Additional risks and uncertainties not presently known to us or that we currently believe are immaterial may also significantly impair our business, financial condition or results of operations. These disclosures reflect the management’s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position and need for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which may make it difficult to evaluate the success of our business to date and to assess our future viability. Since our inception, we have incurred significant operating losses and have not generated any product revenue. We expect to incur continued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drug development is a highly speculative undertaking and involves a substantial degree of risk. We are a clinical-stage biopharmaceutical company with a limited operating history. Our lead programs are still in early clinical development, and we are subject to the risks of failure inherent in the development of therapeutic candidates based on novel technologies. We have not yet demonstrated an ability to successfully overcome many of the risks and uncertainties frequently encountered by companies in new and rapidly evolving fields, particularly in the biotechnology industry. Furthermore, we do not expect to generate any product revenue from commercial sales for the foreseeable future, and we expect to continue to incur significant operating losses for the foreseeable future due to the cost of clinical trials, preclinical studies, research and development, and the regulatory approval process of our therapeutic candidates. For the three and six months ended June 30, 2026, we incurred a net loss of $44.7 million and $68.9 million, respectively. For the three and six months ended June 30, 2025, we incurred a net loss of $33.7 million and $66.5 million, respectively. As of June 30, 2026, we had an accumulated deficit of $558.5 million. We expect to continue to incur significant research and development and other expenses related to our ongoing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focused substantially all of our efforts and financial resources on research and development activities for our programs and on establishing arrangements and collaborations with third parties for the development of our therapeutic candidates. To date, we have not generated any product revenue from product sales and have financed our operations primarily through sales of our equity and convertible promissory notes, debt financing, as well as one-time, nonrefundable, upfront licensing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prior losses, combined with expected future losses, have had, and will continue to have, an adverse effect on our stockholders’ equity and working capital. We expect our research and development expenses to significantly increase in connection with the ongoing clinical trials for our lead programs, MZE829 and MZE782, further development of our Maze Compass platform, or our Compass platform, planned preclinical studies, IND filings and clinical trials for future therapeutic candidates. We will also incur substantial additional expenses as we seek to expand our intellectual property portfolio, including through potential in-licensing opportunities, and hire additional personnel as we scale up our operations. We expect to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become profitable depends upon our ability to generate revenue. To date, we have not generated any revenue apart from upfront licensing payments, and we do not know when, or if, we will generate any sales, milestone, or royalty revenue. We do not expect to generate additional significant revenue from licensing arrangements in the near term. We do not expect to generate significant revenue unless and until we obtain marketing approval for, and begin to sell, our therapeutic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designing, developing and eventually commercializing products that generate significant revenue. This will require us to be successful in a range of challenging activities, including therapeutic candidate selection, preclinical testing and clinical trials of our therapeutic candidates, continuing to discover and develop additional therapeutic candidates, establishing arrangements with third parties for the manufacture of preclinical and clinical supplies, obtaining regulatory approval for any therapeutic candidates that successfully complete clinical trials, manufacturing, marketing and selling any products for which we may obtain marketing approval and obtaining coverage and adequate reimbursement from government and third-party payors for any such products. We are only in the preliminary stages of development and clinical trials, and we may never succeed in these activities and, even if we do, may never generate revenues that are significant enough to achieve profitability or meet outside expectations for our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development, we are unable to accurately predict the timing or amount of increased expenses we will incur or when, or if, we will be able to achieve profitability. If we decide to or are required by the U.S. Food and Drug Administration, or FDA, or regulatory authorities in other jurisdictions to perform preclinical studies or clinical trials in addition to those currently expected, or if there are any delays in establishing appropriate manufacturing arrangements for, in initiating clinical trials or preclinical studies for, or in the development of any of our therapeutic candidates, our expenses could increase materially and profitability could be further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clinical trials and preclinical studies, is a very time-consuming, expensive and uncertain process that takes years to complete. Our operations have consumed substantial amounts of cash since inception, and we expect our expenses to increase substantially in connection with our ongoing research and development activities, particularly as we advance our developmental programs, advance our current clinical trial and preclinical studies, commence additional clinical trials and preclinical studies and expand the breadth of our Compass platform. In addition, even if we obtain marketing approval for any of our therapeutic candidates, we expect to incur significant commercialization expenses related to product manufacturing, marketing, sales and distribution. We expect to continue to incur additional costs associated with operating as a public company. Accordingly, we will need to obtain substantial additional capital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clinical and preclinical development, research and development programs, our commercialization plans or other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cash, cash equivalents and marketable securities were $494.9 million. Based on our current operating plan, we believe our existing cash, cash equivalents and marketable securities as of June 30, 2026 will enable us to fund our operating expenses and capital expenditure requirements for at least one year from the date of this Quarterly Report on Form 10-Q.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development activities and changes in regulation. Our future capital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the type, scope, progress and results of research and discovery, preclinical development, laboratory testing and clinical trials for our current or future therapeutic candidates, including MZE829 and MZE782;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develop, in-license or acquire other pipeline therapeutic candidates or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development requirements of other therapeutic candidates that we may pursue, and other indications for our current therapeutic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entering into partnerships or other arrangements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regulatory approvals of our current or future therapeutic candidates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our products or technologies, including to maintain and expand our Compass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making arrangements with third-party manufacturers for preclinical, clinical and commercial supplies of our current or future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involved in growing our organization to the size needed to allow for the research, development and potential commercialization of our current or future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commercializing any approved therapeutic candidates, including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completing any post-marketing studies or trials required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current or future therapeutic candidates, if any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addressing any potential interruptions or delays resulting from factors related to overall global affairs, such as conflicts overseas;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defending and enforcing our intellectual property and proprietary rights and defending intellectual property-related claims that we may become subject to, including any litigation costs and the outcome of such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product liability claims, including the costs associated with obtaining insurance against such claims and with defending against such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 arrangements on favorable terms, if at all and the timing and amount of any milestone, royalty or other payments we are required to make or are eligible to receive under such collaborations,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capital for our research and development programs. Our ability to raise additional funds will be dependent on financial, economic and market conditions, geopolitical issues and other factors, over which we may have limited or no control. If adequate funds are not available on commercially acceptable terms when needed, we may be forced to delay, reduce or terminate our research and development activities of all or part of our research programs or therapeutic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therapeutic candidates, if approved. Changing circumstances, some of which may be beyond our control, could cause us to consume capital significantly faster than we currently anticipate, and we may need to seek additional funds sooner than planned.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cause the price of our common stock to decline, restrict our operations or require us to relinquish rights to our technologies or therapeutic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equity offerings, debt financings, collaborations, strategic alliances and marketing, distribution or licensing arrangements. We may seek additional capital due to favorable market conditions or strategic considerations, even if we believe we have sufficient funds for our current or future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an effective Form S-3ASR automatic shelf registration statement, or the “Shelf Registration,” on file with the Securities and Exchange Commission, or SEC, which allows us to sell any combination of common stock, preferred stock, debt securities, warrants, subscription rights, and/or units consisting of one or more of the foregoing in one or more offerings.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entered into an Open Market Sale Agreement with Jefferies LLC, serving as our sales agent, with respect to an at-the-market offering program pursuant to which we may elect to issue and sell shares of our common stock having an aggregate offering price of up to $200.0 million, or the 2026 Sale Agreement, in such quantities and on such minimum price terms as we set from time to time through our sales agent. To date, no sales have occurred under the 2026 Sale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2026, we completed an underwritten registered offering pursuant to which we issued and sold an aggregate of 5,540,000 shares of our common stock at a purchase price of $23.50 per share and pre-funded warrants to purchase up to an aggregate of 850,000 shares of our common stock at a purchase price of $23.499 per pre-funded warrant, which represents the per share offering price for the shares of common stock less a $0.001 per share exercise price for each pre-funded warrant, resulting in net proceeds of approximately $144.6 million, after deducting underwriting discounts and commissions and offering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shares of our common stock pursuant to the Shelf Registration or the 2026 Sale Agreement, or issuances of securities convertible into or exercisable for our common stock or other equity-linked securities, including preferred stock, warrants, debt securities or units, would dilute the ownership interest of our existing stockholders. Further, any such sales, or the anticipation of such sales, could depress the market price of our common stock and impair our ability to raise capital through the sale of additional securities.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therapeutic candidates, including granting licenses to our technologies, on terms that may not be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therapeutic candidates that we would otherwise prefer to develop and market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loan and security agreement provides our lender with a first priority lien against substantially all of our assets, except for intellectual property, and contains restrictive and financial covenants that may limit our operating flexibility.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4, 2026, we entered into a loan and security agreement, or the Hercules Loan Agreement, with certain lenders and Hercules Capital, Inc., in its capacity as administrative agent and collateral agent for itself and the lenders party thereto, which provides for a senior secured term loan facility, or the Hercules Term Loan Facility, in an aggregate principal amount of up to $200.0 million. An initial term loan of $40.0 million was funded under the Hercules Loan Agreement and the Hercules Term Loan Facility includes up to six additional term loan tranches providing up to an aggregate $160.0 million in additional loan commitments through February 2031, so long as we satisfy certain conditions precedent. The final tranche of $50.0 million is subject to approval by the lenders’ investment committee. The facility has a maturity date of February 1, 2031, and may be prepaid at any time, subject to prepayment premiums. This senior secured term facility will accrue interest at an annual rate determined by reference to the Prime Rate as reported in the Wall Street Journal, with interest rate floors that range from 7.95% to 9.25% depending on the tranche. Accrued interest is payable on the first business day of each month until (a) February 2030 or (b) if certain performance and financing milestones are satisfied, the maturity date. The Federal Reserve has raised, and may in the future further raise, interest rates to combat the effects of recent high inflation. An increase in the prime rate resulting in interest rates above the set minimum rate would increase our debt service obligations, which could have a negative impact on our cash flow, financial position or operating results, or result in increased borrowing costs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obligations under the Hercules Loan Agreement are secured by a first lien perfected security interest on substantially all of our existing assets and after-acquired assets, except for intellectual property, subject to customary exceptions.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Hercules Loan Agreement contains certain representations and warranties, affirmative covenants, negative covenants, financial covenants, and conditions that are customarily required for similar financings. The affirmative covenants, among other things, require us to undertake various reporting and notice requirements and an obligation to maintain in force certain rights, approvals and assets. The negative covenants restrict or limit our ability to, among other things and subject to certain exceptions contained in the Hercules Loan Agreement, incur new indebtedness, create liens on assets, engage in certain fundamental corporate changes, such as mergers or acquisitions, or changes to the Company’s business activities, and to make Investments (as defined in the Hercules Loan Agreement) or distributions, or redemptions, in each case subject to customary exceptions. The negative covenants also restrict our ability to change our fiscal year, repay certain other indebtedness, engage in certain affiliate transactions, or enter into, amend or terminate any other agreement that has the impact of restricting our ability to make loan repayments under the Hercules Loan Agreement. In addition, unless either (i) our market capitalization is greater than or equal to $450.0 million and an aggregate of no more than $85.0 million in principal amount is outstanding under the term loans or (ii) our market capitalization is greater than or equal to $750.0 million, we must at all other times maintain unrestricted cash and cash equivalents of at least 50% of the outstanding loan amount, decreasing to 40% and 35% upon satisfaction of certain performance and financing milestones. Our ability to comply with these covenants and restrictions may be affected by events beyond our control, and breaches of these covenants and restrictions could result in a default under the Hercules Loan Agreement or under any future financing agreements that we may enter into, which would give our lenders the right to terminate their commitments to provide loans and to declare all borrowings outstanding, together with accrued and unpaid interest and fees, to be immediately due and payable. Conforming to such restrictive and financial covenants under the Hercules Loan Agreement may limit our operating flexibility and we may be required to delay, limit, reduce or terminate our research, product development or future commercialization efforts or grant rights to third parties to develop and market therapeutic candidates that we would otherwise prefer to develop and market ourselves.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Hercules Loan Agreement also contains certain customary Events of Default (as defined in the Hercules Loan Agreement). The occurrence of an Event of Default could result in, among other things, the declaration that all outstanding principal and interest under the Hercules Term Loan Facility are immediately due and payable in whole or in part. See Note 10, Loan and security agreement, in Part I, Item 1 of this Quarterly Report on Form 10-Q for further discussion of the Hercules Loan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discovery and development of our therapeutic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early in our development efforts and highly dependent on the success of our lead programs. If we are unable to commercialize our therapeutic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therapeutic candidates are in early stages of development. We do not have any products that are approved for sale in any jurisdiction. We initiated a Phase 2 trial of MZE829, our most advanced lead program, in November 2024, dosed our first patient in February 2025 and reported positive topline clinical proof of concept data in March 2026. We plan to initiate a pivotal trial of MZE829 in the first half of 2027, subject to regulatory feedback. We initiated a Phase 1 clinical trial of our second lead program, MZE782, in September 2024 and announced initial clinical data in healthy adult volunteers in September 2025. In August 2026, we announced that the Phase 2 proof-of-concept trial of MZE782 in patients with phenylketonuria, or PKU, has initiated and we anticipate reporting topline data from this trial in 2027. We plan to initiate a Phase 2 proof-of-concept trial of MZE782 in patients with CKD in the first half of 2027. Our other programs are at an early research stage, with no therapeutic candidates identified. Our research programs may not result in viable therapeutic candidates for some time, if ever, and our therapeutic candidates in development may not achieve success in our current or any future clinical trials, or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product revenues, which may not occur for many years, if ever, will depend heavily on the successful development and eventual commercialization of our therapeutic candidates. The success of our therapeutic candidates will depend on several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and timely enrollment of patients in,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of new drug applications, or NDAs, or other regulatory applications, and receipt and related terms of regulatory approvals from applicable regulatory authorities, including the completion of any required post-marketing studies or trials and available funding to perform any post-marketing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and commercialize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of INDs or other regulatory applications, and authorizations to initiate clinical trials from the FDA and foreign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demonstration of safety, efficacy and acceptable risk-benefit profiles of our therapeutic candidates to the satisfaction of the FDA and foreign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patent, trade secret and other intellectual property and proprietary protection and regulatory exclusivity for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suppliers and manufacturers for preclinical, clinical and commercial supplies of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implementing marketing and reimbursement strategies, as well as adequate demand forecasts for supply and sales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 including those that have not yet entered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appropriate support from patient advocacy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clinical trials, or in the manufacture or distribution of our therapeutic candidates, if approved, resulting from any major natural disasters, health pandemics, economic conditions or significant political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these factors are beyond our control, and it is possible that none of our therapeutic candidates will ever obtain regulatory approval, even if we expend substantial time and resources seeking such approval. Even if we do obtain regulatory approval, it is possible that one or more of these factors could cause significant delays or an inability to successfully commercialize our therapeutic candidates, which would materially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clinical or regulatory setbacks to other companies developing similar products or within adjacent fields, may impact the clinical development of and regulatory pathway for our current or future therapeutic candidates, or may negatively impact the perceptions of value or risk of our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drug development is a lengthy and expensive process, with uncertain timelines and outcomes. If preclinical studies or clinical trials of our therapeutic candidates are prolonged or delayed, we may be unable to obtain required regulatory approvals, and therefore be unable to commercialize our therapeutic candidates or any of our future therapeutic candidates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designing and implementing clinical trials. We initiated a Phase 2 trial of MZE829, our most advanced lead program, in November 2024, dosed our first patient in February 2025 and reported positive topline clinical proof of concept data in March 2026. We plan to initiate a pivotal trial of MZE829 in the first half of 2027, subject to regulatory feedback. We initiated a Phase 1 clinical trial of MZE782 in September 2024 and announced initial clinical data in healthy adult volunteers in September 2025. In August 2026, we announced that the Phase 2 proof-of-concept trial of MZE782 in patients with PKU has initiated and we anticipate reporting topline data from this trial in 2027. We plan to initiate a Phase 2 proof-of-concept trial of MZE782 in patients with CKD in the first half of 2027. Failure to design any one of our clinical trials adequately, or incorrect assumptions about the design of the trial, could adversely affect the ability to initiate the trial, enroll patients, complete the trial, or use the clinical trial’s results to support an application for regulatory approval, as well as lead to increased or unexpected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programs are in the early stages of development, and the risk of failure is high. Our programs may fail to identify potential therapeutic candidates for clinical development for a number of reasons. We are unable to predict when or if our programs will lead to therapeutic candidates or when or if our therapeutic candidates will prove effective and safe in humans or will obtain marketing approval. Before obtaining marketing approval from regulatory authorities for the sale of any of our therapeutic candidates, we must complete preclinical development and then conduct extensive clinical trials to demonstrate the safety and efficacy of our therapeutic candidates in humans. Our potential therapeutic candidates may be shown to have harmful side effects in animal model studies, may not show promising signals of therapeutic effect in such experiments or studies, or may have other characteristics that may make the therapeutic candidates impractical to manufacture, unmarketable, or unlikely to receive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focused on advancing the development of our lead programs, MZE829 and MZE782; however, even with significant investment of time and funding to advance these therapeutic candidates, we cannot guarantee that our clinical and preclinical development efforts will be successful. The start or end of a clinical trial may be delayed or halted due to delays in or failure to obtain regulatory approval to commence the trial, delays in or failure to reach agreement on acceptable terms with prospective clinical research organizations, or CROs, or clinical trial sites, delays in or failure to obtain Institutional Review Board, or IRB, approval at each site, changing regulatory requirements, manufacturing challenges, clinical sites or CROs deviating from the trial protocol or failing to comply with regulatory requirements or meet contractual obligations, slower than anticipated patient enrollment, changing standards of care, availability or prevalence of use of a comparative therapeutic or required prior therapy, clinical outcomes, failure of patients to complete the trial or return for post-treatment follow-up, or financial constraints. Delays or difficulties in patient enrollment or difficulties in retaining trial participants can result in increased costs, longer development times, requirements to manufacture additional drug supply, or termination of a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of a new therapeutic candidate require the enrollment of a sufficient number of patients, which may include patients who are suffering from the disease the therapeutic candidate is intended to treat and who meet other eligibility criteria, which may require genetic testing of prospective patients.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or competing academic and other sponsored clinical trials for the relevant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therapeutic candidate can unexpectedly fail at any stage of preclinical and clinical development. The historical failure rate for therapeutic candidates is high due to scientific feasibility, safety, efficacy, changing standards of medical care, and other variables. Although our Compass platform was designed to increase the probability of developing new medicines, it may still result in high failure rates equivalent to historical norms. We will have to conduct additional trials in our proposed indications to support any future regulatory submissions.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our clinical trials will demonstrate consistent or adequate efficacy and safety with respect to the proposed indication for use that is sufficient to receive regulatory approval or market our therapeutic candidates. To the extent that the results of the clinical trials are not satisfactory to the FDA or foreign regulatory agencies for supporting a marketing application, we may be required to expend significant resources, which may not be available to us, to conduct additional clinical trials in support of potential approval of our therapeutic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FDA, an IRB, an independent ethics committee, or EC, or other applicable regulatory authorities may suspend clinical trials of a therapeutic candidate at any time for various reasons, including a belief that subjects participating in such trials are being exposed to unacceptable health risks or adverse side effects. Similarly, an IRB or EC may suspend a clinical trial at a particular trial site. We may not have the financial resources to continue development of, or to enter into collaborations for, a therapeutic candidate if we experience any problems or other unforeseen events delaying or preventing clinical development or regulatory approval of, or our ability to commercialize, therapeutic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or the clinical trials of others for therapeutic candidates similar to ours,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experienced by participants in our clinical trials or by individuals using therapeutics similar to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drug-related side effects experienced in the past by individuals using therapeutics similar to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 applications, clinical trial applications or comparable foreign applications, or delays or failure in obtaining the necessary approvals from regulators or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such as the European Medicines Agency, or EMA,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difficulty in enrolling research subjects in clinical trials, for a variety of reasons including, but not limited to, change in priorities for clinical trial sites, the clinical trials of other therapeutic candidates or approval of a competitor’s product for the same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therapeutic candidate or therapeutic candidate components, or materials or other supplies necessary for the conduct of our clinical trials, including those owned, manufactured, or provided by companies other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 including the cost of any approved drugs used in combination with our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therapeutic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policies, and guidelines, including the imposition of additional regulatory oversight around clinical testing generally or with respect to our technology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impacted by one or more of these factors and are unable to remediate the issue in a timely manner or at all, then we could experience significant delays or an inability to successfully obtain regulatory approvals for our therapeutic candidates. Without regulatory approval, we will be unable to commercialize our therapeutic candidates, which would materially harm our business and potentially make it impossible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preclinical studies or early-stage clinical trials of any therapeutic candidates may not be predictive of the results of future preclinical studies 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difficult to design and implement, can take many years to complete and is uncertain as to the outcome. A failure of one or more clinical trials can occur at any stage of testing. The outcome of preclinical testing and early clinical trials may not be predictive of the success of later preclinical studies or clinical trials or of clinical trials of the same therapeutic candidates in other indications, and interim or preliminary results of a clinical trial do not necessarily predict final results. For example, even if successful, the results of our preclinical studies or early clinical trials for our lead programs may not be predictive of the results of outcomes in subsequent clinical trials. Later-stage clinical trials could differ in significant ways from early-stage clinical trials, including changes to inclusion and exclusion criteria, efficacy endpoints, dosing regimen and statistical design.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delays or difficulties enrolling patients in our clinical trials and/or retaining patients in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external reasons beyond our control, including supply chain disruptions, staffing shortages and other business and economic disruptions resulting from geopolitical actions, including war and terrorism, natural disasters, including earthquakes, typhoons, floods and fires, as well as other disruptions resulting from the impact of public health factors, including pandemics or other health crises, business disruptions of our strategic partners, third-party manufacturers, suppliers and other third parties upon which we rely. Our therapeutic candidates are developed using a precision medicine approach intended to identify specific targets amenable to therapeutic intervention in kidney and metabolic diseases. As a result, the potential population of patients eligible for enrollment in our clinical trials may be smaller than the population eligible for enrollment in trials targeting the entire population with the disease, and it may be difficult to identify and enroll adequate numbers of patients in our trials. For example, our therapeutic candidate MZE829 is targeted to treat kidney disease associated with genetic variations in the APOL1 gene, which are most prevalent in people of West African ancestry, including many who identify as Black, African American, Afro-Caribbean and Latina/Latino, which narrows the patient population eligible for enrollment in these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eligibility criteria of our clinical trials will further limit the pool of available trial participants. For our therapeutic candidate MZE829, we depend on and expect to perform genetic screening in order to identify candidates with the applicable genetic variations for our clinical trials. As we expect future therapeutic candidates to also target specific subgroups of common conditions, as identified through our Compass platform, it is likely that future therapeutic candidates will also require identification of patients with the applicable genotype or other specific disease biomarkers, which will require genetic and/or specific clinical tests for screening and further costs and timing delays in identifying patients eligible for our clinical trials. Such screening could involve more time consuming, costly and invasive procedures than patients may be willing to accept. If patients are not willing to undergo screening, or any other eligibility criteria we have for our clinical trials, it would lead to greater costs and/or timing delays for us in order to identify eligible and the necessary patients for our clinical trials. The timely completion of clinical trials in accordance with their protocols depends, among other things, on our ability to enroll a sufficient number of eligible patients who remain in the trial until completion of treatment and adequate follow-up. In general, the enrollment and retention of patients depends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therapeutic candidate being studied;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and maintain patient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factors such as geopolitical events, infectious disease outbreaks and public health crises;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events in countries where we have or seek to have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reporting of the preliminary results of any of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approval and commercial availability of a competitor’s product for the same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clinical trials will compete with other clinical trials for therapeutic candidates that are in the same therapeutic areas as our therapeutic candidates, and this competition will reduce the number and types of patients available to or retained by us because patients who might have opted to enroll in our trials may instead opt to enroll in a trial being conducted by one or more of our competitors. Other biopharmaceutical companies are currently conducting clinical trials, and may in the future conduct clinical trials, that compete for the same patient population as us. Since the number of qualified clinical investigation sites is limited, and often associated with a small number of academic centers, we expect to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therapeutic candidates may cause undesirable side effects or have other properties that could halt their clinical development, prevent their regulatory approval, require expansion of the trial size,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serious adverse events or undesirable side effects arise, we could be required to suspend, delay, or halt our clinical trials. Additionally, serious adverse events or undesirable side effects could cause regulatory authorities to deny approval or require us to limit development of that therapeutic candidate to certain uses or subpopulations in which the undesirable side effects or other characteristics are less prevalent, less severe or more acceptable from a risk-benefit perspective. Undesirable side effects could also result in an expansion in the size of our clinical trials, increasing the expected costs and timeline of our clinical trials. Side effects that are observed during trials, whether treatment related or not, could also affect patient recruitment for future trials or the ability of enrolled patients to complete the trial or result in potential product liability claims. Many compounds that initially show promise in clinical or preclinical testing are later found to cause undesirable or unexpected side effects that prevent further development of the compound.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serious adverse events or undesirable side effects are identified during development or after approval and are determined to be attributed to any of our therapeutic candidates, we may be required to develop Risk Evaluation and Mitigation Strategies, or REMS, to ensure that the benefits of treatment with such therapeutic candidate outweigh the risks for each potential patient. A REMS may include, among other things, a communication plan to health care practitioners, patient education, extensive patient monitoring or distribution systems and other processes that would make our therapeutic candidate more restricted or costly to distribute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two lead programs are intended to treat CKD, which is a progressive condition associated with severe and often life-threatening co-morbidities. Clinical trials that involve patients with significant co-morbidities are associated with increased risks as such participants may be particularly susceptible to safety and toxicity risks. In addition, these side effects may not be appropriately recognized or managed by the treating medical staff, as safety and toxicity monitoring may be complicated and difficult to manage, which could result in patient death or other significant issues. Additionally, it can be difficult to determine if the serious adverse or unexpected side effects were caused by our therapeutic candidate or some other factor, especially in subjects who may suffer from other medical conditions and take other medications.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occurrences may materially harm our business,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applying our Compass platform to identify targets with therapeutic potential or to discover and develop safe, effective or commercially viable therapeutic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Compass platform to identify and prioritize potential drug targets, to assess the likelihood that we can develop a therapeutic candidate that interacts with the applicable target to elicit the desired therapeutic effect, and to transition these insights efficiently into well-supported therapeutic candidates. We believe our use of our Compass platform, which identifies and prioritizes targets using statistical modeling, variant functionalization tools, and traditional and computational drug discovery technologies, augmented with machine learning and artificial intelligence, or AI, increases our likelihood of producing therapies that provide meaningful clinical benefit, but past success in identifying potential therapeutic candidates does not assure similar future success with our other programs. We may not succeed in applying our Compass platform to identify targets or promising therapeutic candidates in the future. We therefore cannot provide any assurance that we will be able to successfully identify additional therapeutic candidates or advance any of our programs or future therapeutic candidates into clinical development, nor can we provide any assurance whether the application of our Compass platform will result in the ultimate regulatory approval of any of our therapeutic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identify, acquire or in-license, and then develop therapeutic candidates require substantial technical, financial and human resources, whether or not any therapeutic candidates are ultimately identified. We apply our Compass platform to discover potential genetic targets for which we may be able to develop precision therapeutic candidates. Our efforts may initially show promise in identifying potential targets linked to diseases or conditions, yet fail to yield therapeutic candidates for clinical development or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platform methodology used may not be successful in identifying potential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alternatives that render any therapeutic candidates we develop obsolete;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therapeutic candidates we develop may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therapeutic candidate may be shown, in subsequent preclinical or clinical investigations, to have harmful side effects or characteristics that indicate it is unlikely to be effective, or otherwise would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therapeutic candidate may not be capable of being produced in commercial quantities at an acceptable cost,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therapeutic candidate may not be accepted as safe and/or effective by physicians, patients, the medical community or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Certain of the diseases we, or which our partners, seek to treat have low prevalence and/or have available therapies, and it may be difficult for us or our partners to identify patients with these diseases or face competition in the recruitment of these limited groups of patients, which may lead to difficulties in enrolling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Genetically defined diseases generally, and especially some of those which our out-licensed programs target, including Pompe disease, have low prevalence and incidence. This could pose obstacles to the timely recruitment, enrollment and retention of a sufficient number of eligible patients into our partners’ trials or limit a therapeutic candidate’s commercial potential, and thus the milestone payments and royalties we would receive for those licenses. Other companies have ongoing clinical trials for therapeutic candidates that treat the same indications as our wholly owned and our out-licensed therapeutic candidates, and patients who otherwise would be eligible for our or our partners’ planned clinical trials instead may enroll in clinical trials of our competitors’ therapeutic candidates. In addition, where there are currently available therapies or if our competitors’ therapeutic candidates gain regulatory approval and become commercially available, patients may be reluctant to enroll in a clinical trial. As more companies begin to focus attention and resources on therapeutic candidates to treat the same indications as the ones we have out-licensed, our licensees may experience delays or be unable to successfully recruit and enroll a sufficient number of eligible patients in their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licensees’ inability to enroll a sufficient number of patients with these diseases into their planned clinical trials would result in significant delays and could cause them to not initiate or abandon one or more clinical trials altogether, potentially depriving us of milestone payments and royalties potentially associated with these licenses.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delays in commencing and completing, or ultimately be unable to complete, the development and/or commercialization of our therapeutic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of a therapeutic candidate in any indication, we must submit the results of preclinical studies to the FDA or to comparable foreign authorities, along with other information, including information about the therapeutic candidate’s chemistry, manufacturing and controls, and our proposed clinical trial protocol, as part of an IND or comparable foreign regulatory filings.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require us to conduct additional preclinical studies for any therapeutic candidate before it allows us to initiate clinical trials under any IND, which may lead to additional delays and increase the costs of our preclinical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the commencement or completion of preclinical studies or clinical trials could significantly affect our development costs. We may experience numerous unforeseen events during, or as a result of, preclinical studies or clinical trials that could delay or prevent our ability to obtain marketing approval or commercialize our therapeutic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ECs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preclinical studies or clinical trial contracts or clinical trial protocols with prospective CROs and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our preclinical studies and clinical trials may be greater than we anticipate, and we may lack adequate funding to continue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partners may fail to obtain regulatory approval of companion diagnostic tests on which we may rely, if required,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meet their contractual obligations to us in a timely manner, or at all, or may fail to comply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suspend or terminate clinical trials for various reasons, including a finding by us or by a Data Monitoring Committee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therapeutic candidates may produce negative or inconclusive results, or have undesirable side effects or other unexpected characteristics, and we may decide, or our investigators, regulators or IRBs/ECs may require us, to conduct additional preclinical studies or clinical trials, or delay, halt or abandon our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be negatively impacted or delayed by changes to clinical trial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therapeutic candidates or other materials necessary to conduct clinical trials may be insufficient or inadequate and result in delays or suspension of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health crises or geopolitical conflict may increase the likelihood that we encounter such difficulties or delays in initiating, enrolling, conducting or completing our planned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including delays caused by the above factors and other factors described in this “Risk Factors” section, can be costly and could negatively affect our ability to complete preclinical studies or clinical trials or obtain timely marketing approvals. We do not know whether any of our planned preclinical studies or clinical trials will begin on or be completed on a timely basis,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therapeutic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preclinical or clinical trial delays also could shorten any periods during which we may have the exclusive right to commercialize our therapeutic candidates or allow our competitors to bring products to market before we do, which may impair our ability to successfully commercialize our therapeutic candidates and harm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therapeutic candidate or indication and fail to capitalize on therapeutic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and spending on current and future research and development programs may not yield any commercially viable products or profitable market opportunities, which may adversely affect our business, financial condition, results of operations and prospects. If we do not accurately evaluate the commercial potential or target market for a particular therapeutic candidate, we may relinquish valuable rights to that therapeutic candidate through collaboration, licensing or other royalty collaborations or arrangements in cases in which it would have been more advantageous for us to retain sole development and commercialization rights to such therapeutic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ethical and other concerns surrounding the use of genetic information become widespread, there may be limitations on our ability to access genetic information for our Compass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pillars of our Compass platform is our ability to access and aggregate numerous and varied genomic and phenotypic data collections, particularly those that pair genetic and clinical data. Genetic testing to provide this data has given rise to ethical questions and controversies regarding confidentiality and the appropriate uses of the resulting information. For these reasons, governmental authorities may call for limits on or regulate the use of genetic data, including by limiting the compilation of genetic information or prohibiting testing for genetic predisposition to various conditions, particularly for those that have no known cure. Some of the major data sources of genetic and clinical data for our Compass platform derive from publicly funded and managed databases. One of our key objectives is to continue to augment our access to diverse sources of genetic information from multiple population groups. If our access to these additional sources of human genetic data becomes restricted, due to governmental limitations or otherwise, the capability of our Compass platform may be reduced, and we may be unable to continue to recognize the benefits of our Compass platform on our expected timeframe, or at all, which would have a negative effect on our business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preclinical studies and clinical trials that we or our partners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or our partners may make public interim, topline or preliminary data from our or their preclinical studies and clinical trials that are based on a preliminary analysis of then-available data, of which, the results, related findings and conclusions are subject to change following a more comprehensive review of the data or accumulation of additional data. Interim, topline or preliminary data from clinical trials that we or our partners may complete are subject to the risk that one or more of the clinical outcomes may materially change as patient enrollment continues and more patient data become available. Interim, preliminary or topline data also remain subject to audit and verification procedures that may result in the final data being materially different from the interim, preliminary or topline data that were previously made public. As a result, interim, topline and preliminary data should be viewed with caution until the final data are available. Adverse differences between interim, topline or preliminary data and final data could significantly harm our reputation and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regulatory agencies, may not accept or agree with our assumptions, estimates, calculations, analyses or conclusions, or may interpret or weigh the importance of data differently, which could impact the value of the particular program, the approvability or commercialization of the particular drug candidate, and our company in general. If the interim, topline, or preliminary data that we report differ from actual results, or if others, including regulatory authorities, disagree with the conclusions reached, our ability to obtain approval of, and commercialize, any of our current or future therapeutic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 frames we announce or expect, the development of our therapeutic candidates may be delayed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estimate the timing of the anticipated accomplishment of various scientific, clinical, regulatory and other therapeutic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All of these milestones are and will be based on numerous assumptions, estimates, calculations, conclusions, or analyses. The actual timing of these milestones can vary dramatically compared to our assumptions and estimates, in some cases for reasons beyond our control. If we do not meet these milestones as publicly announced, or at all, the commercialization of our therapeutics may be delayed or never achieved, which could harm our business, financial condition, results of operations and prospects and may cause our stock price to decline.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Compass platform relies on access to high quality data repositories with paired genetic and clinical data and loss of such access, or the inability to use such data,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non-exclusive access to third-party data sources of genetic and paired clinical data for our Compass platform, including, among others, the University of Helsinki, Queen Mary University, the UK Biobank, Biobank Japan and the Million Veteran Program, as well as specialized databases such as the Chronic Renal Insufficiency Cohort which is managed by the National Institute for Diabetic, Digestive and Kidney Diseases, and other genetic data sets we have acquired or may acquire access to in the future. Our ability to access data from these and similar sources is vital to all phases of our Compass platform, including target identification and variant functionalization.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most part, we do not control the quantity or type of data that is stored in genetic data repositories, and we may only have access to summary level or aggregate data. Some institutions only provide access to their data for limited purposes, or will require us to make results publicly available. We cannot guarantee that our access to any particular source of genetic or paired clinical data will be available in the future, or that the data that is available will meet the needs of our business strategy or our Compass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pay substantial membership fees to access certain genetic data repositories. Our memberships provide us with certain preferred access to non-public data, as well as some oversight of the biobanks through membership in the steering committees for these organizations. Most of the other members of these consortiums are larger and better resourced than we are. Any termination of our arrangements with these organizations would require us to rely more heavily on less well-developed resources or require us to invest in finding alternative, and potentially more costly, genetic data resources, if such resources are available at all, and could delay or impair our research and development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while any loss of access to these or similar genetic data repositories may not directly impact the development of our lead programs, we cannot predict the effects such loss could have on our preclinical and clinical studies and development efforts and our ability to discover and develop additional therapeutic candidates, or optimize our future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not identified any licenses that are required to conduct our genomics work to date, we may in the future identify a third-party technology we need to license to expand or continue to operate our Compass platform. For example, certain aspects of our Compass platform make use of CRISPR Cas9 technology at the early research stages, and while the patent coverage of such technology remains uncertain, certain institutions that have rights in CRISPR Cas9 patents have sought and may in the future seek to obtain license fees from biotechnology companies like ours. If we were unable to license or otherwise obtain access to such technology on reasonable terms or at all, and we were required to cease operation of our Compass platform, it would have a material adverse effect on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and may in the future enter, into strategic collaborations, transactions and licensing partnerships for research, development or commercialization of our programs, including our first therapeutic candidate MZE001, and we may not be able to realize the full value of these partnerships or our partnered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Compass platform has identified, and may identify in the future, genetic targets and therapeutic candidates outside of our core area of focus in kidney and metabolic diseases. Our business strategy includes seeking strategic collaborations to advance these targets. For example, in 2024, we granted exclusive licenses to advance two programs related to targets we were pursuing in amyotrophic lateral sclerosis, or ALS— ATXN2 and UNC13A—to other biotechnology companies, as well as an exclusive license with a pharmaceutical partner, Shionogi &amp; Co., Ltd., or Shionogi, to advance our first clinical stage therapeutic candidate, MZE001.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face significant competition in seeking appropriate strategic partners, and negotiating partnership or collaboration terms that are favorable to us, and the negotiation process may be time-consuming and complex. Moreover, we may not be successful in our efforts to establish a strategic partnership or other alternative arrangements for our programs and therapeutic candidates because they may be deemed to be at too early of a stage of development for collaborative effort and third parties may not view our therapeutic candidates as having the requisite potential to obtain marketing approval. Certain kinds of strategic transactions, including exclusive licenses, may be subject to potential government review, including by antitrust agencies such as the U.S. Federal Trade Commission, or FTC, which can add substantially to the time and expense of completing a transaction. For example, in 2023, the FTC conducted an investigation of our proposed exclusive license of the MZE001 program to Genzyme Corporation, a subsidiary of Sanofi, and ultimately filed an action to enjoin the transaction based upon allegations that the Genzyme license would substantially lessen competition among pharmaceutical treatments for Pompe disease. If we are unable to license or collaborate on our programs, we may have to curtail the development of the therapeutic candidate for which we are seeking a partner, reduce or delay its development program or one or more of our other development programs, increase our expenditures and undertake development activities at our own expense, or accept terms that are for a lower value than we believe the asset is worth.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arrangements with third parties, we have limited control over the amount and timing of resources that our partners dedicate to the development or commercialization of our therapeutic candidates. Our ability to generate revenues from these arrangements will depend on our partners’ abilities and efforts to successfully perform the functions assigned to them in these arrangements to meet regulatory and development milestones, and if a product is approved, to commercialize 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Partnerships involving development and commercialization of our therapeutic candidates, including our existing exclusive license to Shionogi,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have significant discretion in determining the efforts and resources that they will apply to these collaborations and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may de-emphasize or elect not to pursue development or commercialization programs based on studies or trials results, changes in the partners’ strategic focus, including as a result of a sale or disposition of a business unit or development function or a business combination involving the partner,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may delay or abandon preclinical studies or clinical trials for our therapeutic candidates, provide insufficient funding for such programs, repeat or conduct new studies or trials or require a new formulation of a therapeutic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could independently develop, or develop with third parties, therapeutic candidates that compete directly or indirectly with our therapeutic candidates if the partners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partner with marketing and distribution rights to multiple therapeutic candidates may not commit sufficient resources to the marketing and distribution of our therapeutic candidates relative to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may not recognize, properly obtain, maintain, defend or enforce our intellectual property rights or may use our intellectual property in such a way as to invite litigation or other intellectual property-related proceedings that could jeopardize or invalidate our intellectual property or expose us to potential litigation or other intellectual property-related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partners and us that result in the delay or termination of the research, development or commercialization of our therapeutic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partnerships may be terminated by the partner, and, if terminated, may result in our need for additional capital to pursue further development or commercialization of the applicable therapeutic candidates;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strategic arrangements we have entered into may not lead to development or commercialization of our therapeutic candidates in the most efficient manner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recognize the benefit of strategic collaborations or partnerships we have entered or may enter in the future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associated with new companies we may create, such as joint ventures and spin-outs.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business model includes creating business partnerships and new corporate entities to develop and potentially commercialize therapeutic targets identified through our Compass platform that are outside of our core area of expertise. For example, in 2020, we formed Broadwing Bio LLC, a spin-out company with Alloy Therapeutics, Inc., or Alloy, to develop antibody therapies for ANGPTL7 and another undisclosed target in ophthalmic diseases. Going forward, we may create or acquire interests in more joint venture enterprises, spin-outs, and other entities to execute our business strategy. These business collaborations involve risks that our partners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economic or business interests or goals that are inconsistent with or adverse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 actions contrary to our requests or contrary to our policies or objectives, including actions that may violate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unable or unwilling to fulfill their obligations under the relevant joint venture and spin-out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financial or business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 the time and attention of our senior executives, who may serve on the board of such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 actions that may harm our reputation;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disputes with us as to the scope of their or our rights, responsibilities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not be able to fully control all aspects of the operations of these partnerships or entities, and we may not have full visibility or control over the operations of these enterprises, including their business decisions, compliance practices or their filing, maintenance, protection and enforcement of intellectual property rights, among others. For example, although we have certain opt-in rights to jointly develop and commercialize certain therapeutic candidates developed through our spin-out company with Alloy, we do not have the power to control the operations of Alloy, which owns the applicable programs and therapeutic candidates and the associated intellectual property rights. In addition, if these entities seek further financing, we may be required to contribute additional cash to maintain our equity stake in these entities or our equity stake may be diluted and our investment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present partnerships or spin outs may not be successful. We may have disputes or encounter other problems with respect to our present or future partners, and our agreements may not be effective or enforceable in resolving these disputes. We may not be able to resolve such disputes and solve such problems in a timely manner or on favorable economic terms, or at all. Any failure by us to address these potential disputes or conflicts of interest effectively could have a material adverse effect on our business, prospects, financial condition, results of operations or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conduct current and future clinical trials, and those third parties may not perform satisfactorily or at all, including failing to meet deadlines for completing such trials, failing to satisfy legal or regulatory requirements or terminating the relationship.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third-party CROs to conduct any current and future clinical trials for our therapeutic candidates.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and we will be responsible for ensuring our clinical trials are conducted in compliance with applicable laws and regulation, including good clinical practices.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these CROs do not successfully carry out their contractual duties, meet expected deadlines or conduct the clinical trials in accordance with regulatory requirements or our stated protocols, we will not be able to obtain, or may be delayed in obtaining, marketing approvals for our therapeutic candidates and will not be able to, or may be delayed in our efforts to, successfully commercialize our therapeutic candidates, which may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our clinical product supplies and therapeutic candidates and we may not be able to obtain adequate supplies at a reasonable cost or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manufacturing pharmaceutical products is complex and highly regulated. We do not have any manufacturing facilities or plans to establish manufacturing capabilities in the near future. We rely, and expect to continue to rely, on third parties, including foreign manufacturers, for the manufacture of our therapeutic candidates for preclinical and clinical testing, development purposes, to support regulatory application submissions, as well as for commercial manufacture if any of our therapeutic candidates obtain marketing approval. This reliance on third parties increases the risk that we will not have sufficient quantities of our therapeutic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therapeutic candidates are developed through preclinical studies to late-stage clinical trials towards approval and commercialization, we are likely to alter various aspects of the development program, such as manufacturing methods, to optimize processes and results, which may result in additional cost or delay.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only limited supply arrangements in place with respect to our therapeutic candidates, and these arrangements do not extend to Phase 3 clinical or commercial supply. We acquire many key materials on a purchase order basis. As a result, we may not have long-term committed arrangements with respect to aspects of our therapeutic candidates and other materials. We will need to establish one or more agreements with third parties to develop and scale up the drug manufacturing process, conduct testing, and generate data to support a regulatory submission, and may be unable to do so on favorable terms. If we obtain marketing approval for any of our therapeutic candidates, we will need to establish an agreement for commercial manufacture with a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able to establish agreements with third-party manufacturers, reliance on third-party manufacturers entails additional risks,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product development, analytical testing, and data generation to support regulatory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infringement, misappropriation, violation or unauthorized disclosure of our intellectual property and proprietary rights, including our trade secrets, know-how and other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companies for access to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 disruptions or increased costs that are beyond our control;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deliver our products under specified storage conditions and in a timely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manufacturers may not be able to comply with current good manufacturing practice, or cGMP, regulations or similar regulatory requirements outside of the United States. If the FDA determines that our contract manufacturing organizations, or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therapeutic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a version of which was passed in the U.S. House of Representatives, but was not passed by the U.S. Senate in 2024, and a revised version of which was recently passed by the U.S. Senate in 2025, but will be subject to the reconciliation process, would, among other things, prohibit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subject to certain “grandfathering” provisions that provide that the BIOSECURE Act’s prohibitions will not apply for five years to pre-existing contracts and agreements entered into prior to the legislation’s effective date. The BIOSECURE Act has in the past and may in the future define a “biotechnology company of concern” to include WuXi Apptec and its affiliates, or WuXi. Although the BIOSECURE Act has not yet become law, it or a substantially similar bill may be passed or proposed again. We are currently parties to agreements with WuXi, pursuant to which WuXi provides development and manufacturing services to us. If these bills become law, or similar laws are passed, we may be restricted in our ability to work with WuXi and other Chinese biotechnology manufacturing companies to the extent we would contract with, or otherwise receive funding from, the U.S. government. As a result, we may need to seek alternative CMO relationships, but we expect that the grandfathering provision will provide adequate time to identify and execute agreements with alternative CMOs.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to the BIOSECURE ACT,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therapeutic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global health crises. If our current third-party manufacturers cannot perform as agreed, we may be required to replace such manufacturers and we may be unable to replace them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therapeutic candidates may adversely affect our future profit margins and our ability to commercialize any products that obtain marketing approval on a timely and competitive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some of our suppliers may experience disruption to our or their respective supply chain due to the effects of macroeconomic conditions,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third-party suppliers may be affected by macroeconomic events and conditions, including inflation, interest rate fluctuations, new or changing tariff policies or trade restrictions,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could negatively impact our cost of materials and production processes. For example, the United States has announced tariffs on many goods imported from specified nations, including China and those in the European Union. In addition, recent media reports have suggested potential increased tariffs for pharmaceutical products, which may impact our supply chain and create uncertainty in the broader pharmaceutical industry. If we or certain third parties with whom we work are unable to obtain clinical trial supplies or pharmaceutical products in sufficient quantity and in a timely manner due to disruptions in the global supply chain caused by macroeconomic events and conditions, or if the costs of such materials increase due to tariffs, trade restrictions or other factors, the development, testing and clinical trials of our product candidates may be delayed or infeasible, and regulatory approval or commercial launch of any resulting product may be delayed or not obtained, which could significantly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certain of our trade secrets, which increases the possibility that a competitor or other third party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may require us to share certain of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partners, advisors, employees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regulatory approval process is lengthy and time-consuming.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selling, import, export, marketing and distribution of our therapeutic candidates are subject to extensive regulation by the FDA and other regulatory authorities in the United States. Our current lead programs, MZE829 and MZE782, are both small molecules and will be regulated as drugs. We are not permitted to market any drug in the United States until we receive approval of the respective NDA. We have not previously submitted an NDA to the FDA or made similar submissions to comparable foreign regulatory agencies. An NDA must include extensive preclinical and clinical data and supporting information to establish the therapeutic candidate’s safety and effectiveness for each desired indication, which takes many years to collect through clinical and preclinical testing of the therapeutic candidate and is subject to a high failure rate. Further, the NDA must also include significant information regarding the chemistry, manufacturing, and controls for the product, including storage and handling of the product. The manufacturing facility is also required to maintain a compliance status acceptable to the FDA. In addition, even if such clinical trials are successfully completed, we cannot guarantee that the FDA or comparable foreign regulatory agencies will interpret the results as we do, and more trials could be required before we submit an NDA, or other foreign marketing application. Further, the FDA may call an advisory committee meeting to discuss the product and its intended use, as well as scientific and regulatory issues related to the product and the NDA, which may further delay approval of our therapeutic candidates or lead to restrictions on their intended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as a company, have limited experience in submitting INDs in the United States and we do not have experience in obtaining regulatory approval to initiate clinical trials in any other jurisdiction. Nor do we have experience in manufacturing or in quality assurance in order to market our therapeutic candidates in the United States or in any other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in submitting INDs in the United States and we do not have experience in obtaining regulatory approval to initiate clinical trials in any other jurisdiction. Nor do we have experience in manufacturing or in quality assurance in order to market a drug and we expect to rely on third-party CROs, CMOs or other third-party consultants or vendors to assist us in this process. Our inexperience may result in failure or delay in obtaining permission to initiate clinical trials or in obtaining marketing approval for our therapeutic candidates. If we are unable to obtain regulatory and marketing approval for our therapeutic candidates, or experience significant delays in our efforts to do so, our business could be substantially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obtain marketing approval in foreign jurisdictions would prevent our therapeutic candidates from being marketed abroad, and any approval we are granted for our therapeutic candidates in the United States would not assure approval of therapeutic candidates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products in any jurisdiction outside the United States, we must obtain separate marketing approvals and comply with numerous and varying regulatory requirements. The approval procedure varies from country to country and may involve additional testing. The time required to obtain approval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such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foreign regulatory authority does not ensure approval by regulatory authorities in other countries or jurisdictions or by the FDA. We may not be able to submit for marketing approvals and may not receive necessary approvals to commercialize our products in any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decide to pursue a fast track designation by the FDA, it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therapeutic candidates may be intended to treat serious or life-threatening conditions and may demonstrate the potential to address an unmet medical need for such conditions, and as such they would be eligible for expedited processes within the FDA such as fast track designation. The FDA has broad discretion whether or not to grant such designation, so even if we believe a particular therapeutic candidate is eligible for this designation, we cannot guarantee that the FDA would decide to grant it. Even if we do receive fast track designation, we may not experience a faster development process, review or approval. The FDA may withdraw Fast Track designation if it believes that the designation is no longer supported by data from our clinical development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decide to pursue accelerated approval for any of our therapeutic candidates, it may not lead to a faster regulatory review or approval process and does not increase the likelihood that our therapeutic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may pursue accelerated approval for one or more of our therapeutic candidates. Under the FDA’s accelerated approval program, the FDA may approve a drug for a serious or life-threatening illness that provides meaningful product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therapeutic candidates on the basis of a surrogate endpoint that we believe is reasonably likely to predict clinical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therapeutic candidates receive accelerated approval from the FDA, we will be required to undergo one or more confirmatory clinical trials. If such a therapeutic candidate fails to meet its safety and efficacy endpoints in such confirmatory clinical trials, the FDA may withdraw the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the accelerated approval pathway has come under scrutiny within the FDA and by Congress. The FDA has put increased focus on ensuring that confirmatory studies are conducted with diligence and, ultimately, that such studies confirm clinical benefit. In addition, the enactment of the Food and Drug Omnibus Reform Act, or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assurance that any therapeutic candidate will successfully advance through its confirmatory clinical trial(s). Therefore, even if a therapeutic candidate receives accelerated approval from the FDA, such approval may be withdrawn at a later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or any of our partners, obtain marketing approval for our therapeutic candidates, the terms of approvals, ongoing regulation of our product, including enforcement of post-marketing requirements by regulatory agencies or other post-approval restrictions, may require the expenditure of substantial resources, which could materially impair our ability to generate revenue. If we, or any of our partners or manufacturers, fail to comply with all regulatory requirements or experience unanticipated problems with our products, when and if any of them are approved, we could be subject to substantial penalties, including withdrawal of our product from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therapeutic candidate for which we, or any of our partners obtain marketing approval, as well as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even if marketing approval of a product is granted, the FDA may impose requirements for costly post-marketing studies or clinical trials and surveillance to monitor the safety or efficacy of a product, including the adoption and implementation of a REMS.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of our partners, must also comply with requirements concerning advertising and promotion for any of our therapeutic candidates for which we or they obtain marketing approval. Promotional communications with respect to prescription drugs are subject to a variety of legal and regulatory restrictions and must be consistent with the information in the therapeutic candidate’s approved labeling. Thus, we, and any partners, will not be able to promote any products we develop for indications or uses for which they are not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partners and their third-party manufacturers, and our CMOs would be subject to periodic unannounced inspections by the FDA to monitor and ensure compliance with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assuming we, or any partners, obtain marketing approval for one or more of our therapeutic candidates, we, any partners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as well as other federal and state agencies, including the U.S. Department of Justice, enforce and closely regulate compliance with all requirements governing drug products, including those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patients using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products,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modifications to the labeling or restrictions on the marketing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or recall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relationships with any potential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press coverage and damage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by us or any future partner with regulatory requirements, including safety monitoring or pharmacovigilance, and with requirements related to the development of our products can also result in significant financial penalties.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generic versions of our small molecule therapeutic candidates are approved, our revenue and results of operations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Price Competition and Patent Term Restoration Act of 1984, commonly known as the Hatch-Waxman Amendments, permits the FDA to approve abbreviated NDAs, or ANDAs, for generic versions of small molecule branded drugs. We refer to this process as the ANDA process. The ANDA process permits a competitor to obtain marketing approval for a drug with the same active ingredient as a branded drug but does not generally require the conduct and submission of clinical efficacy studies for the generic product. In place of such clinical studies, an ANDA applicant usually needs only to submit data demonstrating that its product is bioequivalent to the branded product. The Hatch-Waxman Amendments require an ANDA applicant seeking FDA approval of its proposed generic product prior to the expiration of any patents we may list in the FDA’s Approved Drug Products with Therapeutic Equivalence Evaluations (commonly known as the Orange Book) to certify that the applicant believes that our patents are invalid or will not be infringed by the manufacture, use or sale of the drug for which the application has been submitted (a Paragraph IV certification) and notify us of such certification (a Paragraph IV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Hatch-Waxman Amendments, with regard to a drug that has received five years of marketing exclusivity as a result of being a new chemical entity, or NCE, FDA cannot receive any ANDA seeking approval of a generic version of that drug during the five-year period of exclusivity unless the application contains a Paragraph IV certification, in which case the application may be submitted one year prior to expiration of the NCE exclusivity. Accordingly, potential competitors will be permitted to submit ANDA applications for proposed generic versions of any small molecule products for which we obtain approval four or five years from the date of such approval was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receipt of a Paragraph IV notice, the Hatch-Waxman Amendments allow us, with proper basis, to bring an action for patent infringement against the ANDA filer, asking that the proposed generic product not be approved until after our patents expire. If we commence a lawsuit within 45 days from receipt of the paragraph IV notice, the Hatch-Waxman Amendments provide a 30-month stay, during which time the FDA cannot finally approve the ANDA application. If the litigation is resolved in favor of the ANDA applicant during the 30-month stay period, the stay will be lifted and the FDA may approve the ANDA if it is otherwise ready for approval. The discovery, trial and appeals process in such a lawsuit is costly, time consuming, and may result in generic competition if the ANDA applicant prevails.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including physicians, and third-party payors will play a primary role in the recommendation and prescription of any therapeutic candidates for which we obtain marketing approval. Our current and future arrangements with such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such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transparency requirements under the ACA, requires certain manufacturers of drugs, devices, biologics and medical supplies to report to the Centers for Medicare &amp; Medicaid Services, or CMS, information related to payments and other transfers of value provided to, and ownership and investment interests held by, physicians, as defined by such law,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personal information (including health information in some circumstances), many of which differ from each other in significant ways and often are not preempted by HIPAA,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enacted and future legislation may increase the difficulty and cost for us to obtain marketing approval of and commercialize our therapeutic candidates and may affect pricing and third-party payment for our therapeutic candidates and decrease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among other things, prevent or delay marketing approval of our therapeutic candidates, restrict or regulate post-approval activities and affect pricing and third-party payment for our therapeutic candidates, which could negatively affect our ability to profitably sell any therapeutic candidates for which we obtain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therapeutic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healthcare reform initiatives culminated in the enactment of the Inflation Reduction Act in August 2022, which allows, among other things, the Department of Health and Human Services, or HHS, to negotiate the selling price of a statutorily specified number of drugs and biologics each year that the Centers for Medicare &amp; Medicaid Services, or CMS, reimburses under Medicare Part B and Part D. The negotiated price may not exceed a statutory ceiling price.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A drug or biological product that has an orphan drug designation for only one rare disease or condition will be excluded from the Inflation Reduction Act’s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Inflation Reduction Act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establishing a new manufacturer discount program, which requires manufacturers, in order for their drugs to be covered by Medicare Part D, to provide statutorily defined discounts on their brand (NDA) drugs dispensed to Part D enrollees. The Inflation Reduction Act also extends premium enhanced subsidies for lower income individuals purchasing health insurance coverage in ACA marketplaces through plan year 2025, but those subsidies are set to expire at the end of 2025 unless they are extended by Congress. The Inflation Reduction Act permits the Secretary of HHS to implement many of these provisions through guidance, as opposed to regulation, for the initial years. Manufacturers that fail to comply with the Inflation Reduction Act may be subject to various penalties, some significant, including civil monetary penalties. These provisions have begun taking effect progressively starting in 2023, although they may be subject to legal challenges. For example, the provisions related to the negotiation of selling prices of high-expenditure single-source drugs and biologics have been challenged in multiple lawsuits. Thus, it is unclear how the Inflation Reduction Act will be implemented but it will likely have a significant impact on the pharmaceutical industry and the pricing of our products and therapeutic candidates. The One Big Beautiful Bill Act, or OBBBA, which was recently signed into law, reduces funding to federal healthcare programs and imposes additional requirements to be eligible for healthcare, which may result in decreased access to healthcare, particularly for Medicaid programs.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may be adopted in the future. Such reform measures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therapeutic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among other factors, funding shortages or global health concerns could hinder their ability to hire, retain, or deploy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In addition, there is substantial uncertainty regarding new regulatory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therapeutic candidates to be reviewed and/or approved by necessary government agencies, which may adversely affect our business, financial condition, results of operations and prospects. For example, over the last several years, the U.S. government has shut down several times and certain regulatory agencies, such as the FDA, have had to furlough critical FDA employees and stop critical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FDA-regulated industries, such as ours, face uncertainty with regard to the regulatory environment we will face as we proceed with research, development and commercialization. Some of these efforts have manifested to date as efforts to reduce the size of the federal government, including large-scale reductions in force at the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There remains general uncertainty regarding future activities. New executive orders, regulations, policies or guidance could be issued or promulgated that adversely affects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research and development activities could be affected or delayed as a result of possible restrictions on animal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laws and regulations require us to test our therapeutic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are able to commercialize a drug candidate, coverage and adequate reimbursement may not be available or such drug candidate may become subject to unfavorable pricing regulations or third-party coverage and reimbursement policies,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drug products vary widely from country to country. Some countries require approval of the sale price of a drug product before it can be marketed or may require us or our partners to conduct clinical trials that compare the cost-effectiveness of our therapeutic candidates to other therapies to obtain reimbursement or pricing approval. In many countries, the pricing review period begins after regulatory approval is granted. In some foreign markets, prescription drug product pricing remains subject to continuing governmental control even after initial approval is granted. As a result, we might obtain regulatory approval for a drug in a particular country, but then be subject to price regulations that delay our commercial launch of the drug, possibly for lengthy time periods, and negatively impact the revenue we are able to generate from the sale of the drug in that country.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 Adverse pricing limitations may hinder our ability to recoup our investment in one or more therapeutic candidates, even if any of our current or future therapeutic candidates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commercialize any drugs successfully also will depend in part on the extent to which coverage and adequate reimbursement for these drugs and related treatments will be available from third-party payors, such as government authorities, private health insurers, and other organizations. Even if we succeed in bringing one or more drugs to market, these drugs may not be considered cost-effective, and the amount reimbursed for any drugs may be insufficient to allow us to sell our drugs on a competitive basis. Moreover, in the United States, no uniform policy requirement for coverage and reimbursement for drugs exists among third-party payors, which may result in significant variations in coverage and reimbursement from payor to payor. Even if favorable coverage and reimbursement status is attained for one or more drug products for which we receive regulatory approval, less favorable coverage policies and reimbursement rates may be implemented in the future. If the price we are able to charge for any drugs we develop, or the coverage and reimbursement provided for such drugs, is inadequate in light of our development and other costs, our return on investment could be affected adversely.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therapeutic candidates outside of the United States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therapeutic candidates outside of the United States, which could limit our growth potential and increase our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 accounting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third-party contractors we engage,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radioactive and biological materials. Our operations also produce hazardous waste products. We generally contract with third parties for the disposal of these materials and wastes. We cannot eliminate the risk of contamination, discharge or injury from these materials. In the event of contamination, discharge or injury resulting from our use of hazardous materials, we could be held liable for any resulting damages, and any liability could exceed our resources, including any available insurance. We could be subject to civil damages and criminal penalties in the event of an improper or unauthorized release of, or exposure of individuals to, hazardous materials. Further, it is possible that the materials we use could contaminate another party’s property. In addition, claimants may sue us for injury or contamination that results from our use or the use by third parties of these materials, and our liability may exceed our total assets and our ability to pay the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liability insurance to cover us for costs and expenses we may incur due to injuries to our employees, this insurance may not provide adequate coverage against potential liabilities. We do not maintain insurance for environmental liability, including claims that may arise from pollution from chemical, radioactive or biological materials, or toxic tort claims that may be asserted against us in connection with our storage or disposal of biological, hazardous or radioactive materials. Our partners may also be working with various types of hazardous materials in connection with our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certain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and expect to continue to have direct or indirect interactions with officials and employees of government agencies or government-affiliated hospitals, universities and other organizations. We also expect our non-U.S. activities, including those in China, to increase over time. We expect to continue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and may in the future be,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generate, use, transfer, disclose, make accessible, protect, secure, dispose of, transmit, share and otherwise process (which we refer to as process or processing) certain personal information and other sensitive information, including our proprietary and confidential business data, trade secrets, employee data, intellectual property, data we or our CROs collect about trial participants in connection with clinical trials, and other sensitive data. The global data protection landscape is rapidly evolving and we are and may increasingly become subject to numerous data privacy and security obligations, such as various state, federal and foreign laws, regulations, guidance, directives, industry standards, external and internal privacy and security policies, contractual requirements and other obligations that govern the processing of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federal, state, local and foreign legislative and regulatory bodies, or self-regulatory organizations, may expand current laws, rules or regulations, enact new laws, rules or regulations or issue revised rules or guidance regarding data privacy and security that could result in regulatory investigations, fines or injunctions, as well as civil claims including class actions, and reputational damage. Implementation standards, interpretation,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or external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data privacy laws, and other similar laws. For example, all 50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HIPAA, as amended by HITECH, imposes among other things, certain requirements relating to the privacy, security, transmission, and breach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states have also adopted comparable privacy and security laws and regulations, which govern the processing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of 2020), or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which includes a private right of action for certain data breaches. Although the CCPA exempts some data processed in the context of clinical trials, the CCPA could increase compliance costs and potential liability. The 2020 amendments to the CCPA also created the California Privacy Protection Agency, a new enforcement agency whose sole responsibility is to enforce the CCPA and is empowered to create new CCPA regulations. Other states, such as Virginia, Indiana, Oregon, Texas, Tennessee, Montana, Iowa, Delaware, Connecticut, Utah, Washington and Colorado, have also passed comprehensive privacy laws, and similar laws are being considered in several other states, as well as at the federal and local levels. In addition to government activity and private rights of actions provided by some of the state privacy laws, privacy advocacy groups and technology and other industries are considering various new, additional or different self-regulatory standards that may place additional burdens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Around the world, many countries have privacy and data protection laws that create potentially complex compliance issues for us, our future customers, and strategic partners. For example, outside the United States, the EU’s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or 4% of annual global revenue,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 If we are found not to be compliant with the GDPR or similar requirements, we may be subject to significant fines and the risk of civil litigation. Among other requirements, the GDPR and UK GDPR (and certain other foreign jurisdictions) regulate the cross-border transfer of personal data, which could make it more difficult to transfer information across jurisdictions (such as transferring or receiving personal data that originates in the EU or the United Kingdom to countries such as the United States which are not considered by the EU or United Kingdom to provide adequate protection of personal data). In October 2022, the EU-U.S. Data Privacy Framework, or EU-U.S. DPF, was implemented, and the European Commission adopted an adequacy decision on July 10, 2023 that set conditions for personal data transfers from the EU to certified companies in the United States without additional safeguards in place. However, this decision will likely face legal challenges and ultimately may be invalidated by the Court of Justice of the EU.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Furthermore, in June 2021, the European Commission adopted new standard contractual clauses under the GDPR for transfers of personal data outside the European Economic Area to countries that the European Commission has not deemed to provide an adequate level of protection for such personal data.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revised standard contractual clauses for existing arrangements within required time frames; and/or it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changes in the law related to the use of personal information or data could compromise our ability to develop an adequate marketing strategy and pursue our growth strategy effectively or even prevent us from providing certain products in jurisdictions in which we currently operate or may operate in the future. Complying with these numerous, complex, conflicting, and often changing regulations is expensive and difficult, and failure to comply with any data privacy or security laws, whether by us, one of our CROs, CMOs, partners or another third party, which may adversely affect our business, financial condition, results of operations and prospects.,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data privacy and security laws, we are also bound by other contractual obligations related to data privacy and security that could prove to be more burdensome as laws and regulations evolve.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our CROs, CMOs or other third-party service providers with access to our or our suppliers’, manufacturers’, clinical trial participants’ and employees’ sensitive information in relation to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endeavor to comply with our public statements and documentation regarding our handling of personal information,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commercialization of our therapeutic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or technologies that are more advanced or effective than ours, which may harm our business and financial condition, and our ability to successfully market or commercialize our therapeutic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intellectual property. While we believe that our platform and our knowledge, experience and scientific resources provide us with competitive advantages, we face potential competition from major pharmaceutical and biotechnology companies, academic institutions, government agencies and private and public research institutions,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therapeutic candidates that we or our partners successfully develop and commercialize may compete with existing therapies and new therapies that may become available in the future that are approved to treat the same indications for which we or they may obtain approval for our therapeutic candidates. It is also possible that we or our partners may face competition from other pharmaceutical approaches as well as other types of therapies. The key competitive factors affecting the success of all our programs, if approved, include, but are not limited to their efficacy, safety, convenience, adoption by prescribers, price, level of generic competition, and availability of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face competition from companies developing therapies for CKD and related nephropathies, including but not limited to established therapies including renin-angiotensin-aldosterone system, or RAAS, inhibitors, SGLT2 inhibitors and glucagon-like peptide 1, or GLP-1 agonists, as well as novel mechanisms such as therapies being developed by various companies targeting different pathways implicated in CKD progression.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there are currently no approved therapies for APOL1-mediated kidney disease, or AMKD, we are aware of companies advancing therapeutic candidates in clinical trials that target APOL1.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second most advanced lead program, MZE782, is a small molecule targeting SLC6A19, a novel target in CKD and PKU. While there are no currently approved therapies directly modulating SLC6A19, we may face competition from other companies pursuing programs targeting SLC6A19 or alternative approaches for kidney and metabolic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precision medicine is a rapidly developing field, with increasing usage within the pharmaceutical and biotechnology industry of machine learning and AI technologies to analyze genetic data. While we believe our Compass platform has advantages over potential competitors based on our experience in variant functionalization, our access to genetic databases, and the length of time that we have been engaged in developing precision medicine, other companies may have greater resources or the ability to acquire more advanced technology to identify targets and may acquire access to the same genetic data that we utilize. We may not be able to keep up with the pace of innovation that is occurring in our field, and we may face increasing competition in developing precision medicines.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our Compass platform is effective as a research tool, we may be unable to develop or commercialize new drugs, therapies or other products based on discoveries from our Compass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Compass platform performs its intended functions, we may be unable to use the discoveries resulting from the platform to produce new therapies. Despite recent scientific advances in the life sciences and our improved understanding of biology, the roles of genes and proteins and their involvement in diseases and in other life processes is not well understood. Therefore, notwithstanding any potential promising results in earlier studies or clinical trials, we may face significant setbacks in current or future studies or clinical trials. If we are unable to use our platform discoveries to develop and market new drugs or therapies, our business may fail or we may never become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we rely on, may be unable to develop the diagnostic tests or clinical assays to successfully advance our therapeutic candidates through clinical trials 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or all of our therapeutic candidates may require companion diagnostic tests for clinical trials or commercialization. If we are unable to successfully develop the applicable companion diagnostic tests, experience significant delays in doing so, or rely on third parties in the development of such companion diagnostic tests, or if we are required by the FDA to obtain approval of a companion diagnostic test in connection with approval of any of our therapeutic candidates, and we do not obtain or face delays in obtaining FDA approval of a companion diagnostic test, the full commercial potential of our therapeutic candidates and our ability to generate revenue will be materially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approach to drug discovery and developing therapeutic candidates relies on human genetics and functional genomics to identify targets for therapeutic intervention as well as predictive biomarkers to evaluate the effects of our therapeutic candidates. For those therapeutic candidates that advance to clinical trials, predictive biomarkers, such as a specific genetic screen, may become necessary for subject selection and thus may require the incorporation of a diagnostic test, or companion diagnostic, into our clinical trial design. If required, we may engage one or more third-party partners to co-develop the necessary companion diagnostic.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safe and effective use of any of our therapeutic candidates depends on a companion diagnostic test, then the FDA generally will require approval or clearance of that companion diagnostic, before or at the same time that the FDA approves our therapeutic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In the past, FDA has issued guidance on the development of companion diagnostics generally as well as for specific disease categories. We will continue to evaluate the impact of FDA guidance on our companion diagnostic development and strategy. This guidance and any future guidance or policies from the FDA and other regulatory authorities may impact our development of a companion diagnostic for our therapeutic candidates and result in delays in regulatory approval. We may be required to conduct additional studies or clinical trials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rely on third parties for the design, development and manufacture of companion diagnostic tests for our therapeutic candidates that require such tests. If the FDA, EMA or a comparable regulatory authority requires approval of a companion diagnostic for any of our therapeutic candidates, whether before or after the therapeutic candidate obtains marketing approval, we, and/or future partners, may encounter difficulties in developing and obtaining approval for such therapeutic candidate. If we or our third-party partners experience any delay in developing or obtaining regulatory approval of a companion diagnostic, we may be unable to enroll enough patients in future clinical trials, the development of our therapeutic candidates may be adversely affected or we may not obtain marketing approval, and we may not realize the full commercial potential of our therapeutic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 sales or marketing infrastructure and have no experience in the sale, marketing or distribution of biopharmaceutical products. To achieve commercial success for any therapeutic candidate for which we obtain marketing approval, we will need to establish sales, marketing and distribution capabilities, either by ourselves or through collaboration or other arrangements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establishing our own sales and marketing capabilities. For example, recruiting and training a sales force is expensive and time-consuming and could delay any product launch. If the commercial launch of a therapeutic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efforts to commercialize our products on our own include,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marketing, reimbursement, customer service, medical affairs, and other support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our own sales and marketing capabilities and must rely on third parties to market and sell our products, our revenue from product sales and our profitability, if any, are likely to be lower than if we ourselves were to market and sell any products that we develop. In addition, we may not be successful in entering into arrangements with third parties to market and sell our therapeutic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therapeutic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any of our therapeutic candidates receives marketing approval, it may fail to achieve the degree of market acceptance by physicians, patients, third-party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therapeutic candidates receives marketing approval, it may nonetheless fail to gain sufficient market acceptance by physicians, patients, third-party payors and others in the medical community necessary for commercial success. If our therapeutic candidates do not achieve an adequate level of acceptance, we may not generate significant product revenues and we may not become profitable. The degree of market acceptance of our therapeutic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acceptance of our therapeutic candidates as front-line treatment for various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 in particular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for our therapeutic candidates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our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sales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for our therapeutic candidates and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distribution and/or use restrictions, such as through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payor coverage, adequate reimbursement and favorable pricing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required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support from patient advocacy groups;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therapeutic candidates were to display a favorable efficacy and safety profile in preclinical studies and clinical trials, market acceptance of such therapeutic candidates will not be fully known until after they are launched.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therapeutic candidates that we may develop alone or with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does not always fully characterize the safety and efficacy profile of a new medicine, and it is always possible that a drug or biologic, even after regulatory approval, may exhibit unforeseen side effects. We face an inherent risk of product liability exposure related to the testing of our therapeutic candidates in human clinical trials and will face an even greater risk if we commercialize any products that we may develop. If we cannot successfully defend ourselves against any claims that our therapeutic candidates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therapeutic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and scientific resources from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clinical-stage company, we currently hold product liability insurance coverage for our clinical trials.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estimated market opportunities for our therapeutic candidates are subject to numerous uncertainties and may prove to be inaccurate. If we have overestimated the size of our market opportunities, our future growth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provide estimates of addressable markets and market opportunities for our therapeutic candidates, which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particularly given the relatively early stage of our therapeutic candidates.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or if the facts underlying our assumptions change over time, our actual market may be more limited than we estimate it to be. In addition, these inaccuracies or errors may cause us to misallocate capital and other critical business resources, which could harm our business. Our estimates of our market opportunities should not be taken as indicative of our ability to grow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prices for novel approved treatments must often be set high in order to recover the sponsor’s development and manufacturing costs, fund additional research and achieve profitability, and we may be unable to obtain the price necessary to achieve these things. We may also need to fund patient support programs upon the marketing of a therapeutic candidate, which would negatively affect the revenue of a therapeutic candidate. We may be unable to maintain or obtain sufficient therapy sales volumes at a price high enough to justify our development efforts and our sales, marketing and manufacturing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key employees, to engage advisors and consultants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our scientific founders who are leading researchers in genetics and bioinformatics,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and we may be required to expend significant financial resources in our employee recruitment and retention efforts. Many pharmaceutical companies with whom we compete for qualified personnel have greater financial and other resources, different risk profiles and longer operating histories in the industry than we do. They also may provide candidates with more diverse opportunities and better chances for career advancement. If we are not able to attract and retain the necessary personnel to accomplish our business objectives, including personnel with clinical development expertise, we may experience constraints that will harm our ability to implement our business strategy and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scientific, clinical, and other technical advisors and consultants to assist us with our clinical development programs. Our future success will depend in part on our ability to engage such advisors and consultants with the necessary expertise. In addition, these advisors and consultants are not our employees and may have commitments to, or consulting or advisory contracts with, other entities that may limit their availability to us. They may also have arrangements with other companies to assist those companies in developing products or technologies that may compete with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grow our organization, and we may experience difficulties in managing this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development and commercialization plans and strategies develop, and in connection with our recent transition into operating as a public company, we expect to expand our employee base for managerial, operational, financial and other resources. In addition, we have limited experience in clinical development and, as our therapeutic candidates enter and advance through preclinical studies and clinical trials, we will need to expand our development, regulatory and manufacturing capabilities or contract with other organizations to provide these capabilities for us. We have to manage additional relationships with partners, suppliers and other organizations as part of our ongoing and anticipated clinical trials, and we expect to continue to have to manage additional relationships with partners, suppliers and other organizations in the future.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we may need to expand our facilities, including laboratory operations, and may be unable to do so on commercially reasonable terms, or at all. Our inability to successfully manage our growth and expand our operations could have a material and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or future employees, clinical trial investigators, CROs, CMOs, consultants, vendors and partners may engage in misconduct or other improper activities, including non-compliance with regulatory requirements, violations of regulatory standards,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misconduct by our current or future employees, clinical trial investigators, CROs, CMOs, consultants, vendors and partners. Misconduct by these parties could include fraud or intentional, reckless and/or negligent conduct or disclosure of unauthorized activities to us that violates: (i) FDA regulations or those of comparable foreign regulatory agencies, (ii) manufacturing or clinical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 or improper or unauthorized use of AI or machine learnings tools that result in the disclosure of confidential information or reliance on inaccurate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laws or regulations. If any actions are instituted against us, and we are not successful in defending ourselves or asserting our rights, such actions could adversely affect our ability to operate our business and our results of operations, including the imposition of significant civil, criminal and administrative penalties, damages, fines, disgorgement, imprisonment, exclusion from government funded healthcare programs, contractual damages, reputational harm, diminished profits and future earnings, additional integrity reporting and oversight obligations, and the curtailment or restructuring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dependent on the integrity of information technology systems and failure of such systems could disrupt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 most companies, we depend on the efficient and uninterrupted operation of our information technology and communications systems and those of our third-party vendors, contractors or consultants. Such systems may fail or suffer security breaches, cyberattacks, loss or leakage of data and other disruptions, which could cause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third parties on whom we depend, are increasingly dependent on information technology systems, infrastructure and data to operate our and their businesses. In the ordinary course of business, we process confidential information (including but not limited to intellectual property, proprietary business data and patient data). It is critical that we do so in a secure manner to maintain the confidentiality and integrity of such confidential information. We also have outsourced elements of our information technology systems and operations to third parties, and as a result we rely on and manage a number of third-party vendors and other contractors and consultants who have access to and process our confidential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are still in the process of implementing our internal security controls, policies and other measures, we have taken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Despite the implementation of these security measures, our information technology systems and those of our third-party vendors and other contractors and consultants have been in the past and may be in the future potentially vulnerable to breakdown or other damage or interruption from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nation-state-supported actors (including the deployment of harmful computer viruses and malware, ransomware, denial or degradation-of-service attacks, phishing attacks and other social engineering and other means to affect service reliability and threaten the confidentiality, integrity and availability of information), which may compromise our system infrastructure, or that of our third-party vendors and other contractors and consultants, impede our ability to conduct business, delay our financial reporting or lead to data leakage.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a security consultant provide annual assessments on our systems vulnerabilities, the risk of a security incident or disruption, particularly through cyberattacks or cyber intrusion, including by computer hackers, foreign governments and cyber terrorists, continues to increase as the number, intensity, and sophistication of attempted attacks and intrusions from around the world have increased. We may not be able to anticipate all types of security threats, nor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or security incidents could remain undetected for an extended period, which could potentially result in significant harm to our information technology systems, as well as unauthorized access to the information stored on and transmitted by our information technology systems. Even if identified, the full extent of a cyberattack or security incident may not be determined immediately and we may be unable to adequately investigate or remediate incidents or breaches due to attackers increasingly using tools and techniques that are designed to circumvent controls, to avoid detection, and to remove or obfuscate forensic evidence. Moreover, recovery of our information technology systems may be additionally hampered where we have outsourced the operation of information technology systems and information storage to third parties. Any breach, loss or compromise of confidential information may also subject us to liability, government enforcement actions (for example, investigations, fines, penalties, audits, and inspections); breach notification and additional reporting requirements and/or oversight; restrictions on processing sensitive information (including personal data); litigation (including class action litigation);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utilize third-party open source software, and any failure to comply with the terms of one or more of these open source software licenses could adversely affect our business, subject us to litigation, or create potential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Compass platform utilizes software licensed by third parties under any one or more open source licenses, including the Apache 2.0 License, MIT, BSD variants, and others, and we expect to continue to incorporate open source software in our business in the future. We cannot ensure that we have effectively monitored our use of open source software, or validated the quality or source of such software, or that we are in compliance with the terms of the applicable open source licenses or our current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Companies that incorporate open source software into their products have, from time to time, faced claims challenging the use of open source software and compliance with open source license terms. We could be subject to similar suits by parties claiming ownership of what we believe to be open source software or claiming non-compliance with open source licensing terms, which could result in litigation that may cause us to be required to disclose our proprietary source code based on our modifications of open source code, incur expenses and be liable for damages and such litigation could distract our personnel from their normal responsibilities.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are an increasing number of open source software license types, almost none of which have been interpreted by U.S. or foreign courts, and there is a risk that such licenses to which we are subject to could be construed in a manner that imposes unanticipated conditions or restrictions on our ability to market or provide our products or services. If we are held to have breached or failed to fully comply with any of the terms and conditions of an open-source software license, we could face claims for breach of contract, intellectual property infringement or misappropriation or other liability, or be required to seek costly licenses from third parties that may not be available on commercially reasonable terms, or at all.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Compass platform, or otherwise be limited in the licensing of our Compass platform, each of which could reduce or eliminate the value of our Compass platform. Disclosing our proprietary source code could allow our competitors to create similar products with lower development effort and time, which would materially and adversely affect our business, financial condition, results of operations and prospects. Furthermore, any such re-engineering or other remedial efforts could require significant additional research and development resources, and we may not be able to successfully complete any such re-engineering or other remedial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addition to risks related to license requirements, use of certain open source software carries greater technical and legal risks than does the use of third-party commercial software. For example, open source software is generally provided without any representations, indemnity, support or warranties or other contractual protections regarding infringement or the quality of the code, including the existence of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To the extent that our Compass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Compass platform. Any of the foregoing risks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use of new and evolving technologies, such as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incorporate AI solutions, including machine learning, into our Compass platform. There are significant risks involved in utilizing AI and no assurance can be provided that the usage of AI will enhance our business or assist our business in becoming more efficient or profitable. The use of certain AI technology can give rise to intellectual property risks, including compromising the privacy and security of our proprietary technologies and leading to claims of intellectual property infringement, misappropriation or other violation. In addition, AI may have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expect to see increasing government and supranational regulation and ethical concerns related to AI use, which may also significantly increase the burden and cost of research, development and compliance in this area. The rapid evolution of AI will require the application of significant resources to design, develop, test and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third-party vendors, contractors and consultants may also incorporate AI tools into their own offerings, and the providers of these AI tools may not meet existing or rapidly evolving regulatory or industry standards, including with respect to intellectual property,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Unused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In addition, both our current and our future unused losses and other tax attributes (such as research credits) may be subject to limitation under Sections 382 and 383 of the U.S. Internal Revenue Code of 1986, as amended, or the Code, if we undergo, or have undergone, an “ownership change,” generally defined as a greater than 50 percentage point change (by value) in our equity ownership by certain stockholders over a three-year period. We had a Section 382 study prepared which covered the period from inception through December 2025. The study concluded that several ownership changes occurred since our inception. However, it was determined that the annual available NOLs under Section 382 will be sufficient to utilize in their entirety prior to their respective expiration years. It is possible that we may undergo additional ownership changes in the future, including as a result of the issuance of common stock pursuant to our initial public offering completed in February 2025 or future transactions or events that may be outside of our control. As a result, even if we attain profitability,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of the foregoing, even if we attain profitability, we may be unable to use all or a material portion of our net operating losses and other tax attributes, which could adversely affect our future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strategic transactions that could impact our liquidity, increase our expenses and present significant distractions to our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consider strategic transactions, such as acquisitions of companies, businesses or assets, joint ventures and spin-outs. Additional potential transactions that we may consider include a variety of different business arrangements, including spin-offs, strategic partnerships,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and cost in integrating the operations, systems and personnel of any acquired businesses with our operations, systems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retain key employees of any acquired businesses.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results of operations and prospects, which could lead to a decline in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stock price could be adversely affected by general conditions in the global economy and in the global financial markets. For example, a global financial crisis or uncertainty with respect to federal regulations could cause extreme volatility and disruptions in the capital and credit markets. Similarly, increased volatility in interest, inflation and tariff rates and the debt and equity markets, instability in the global banking system, global health crises and pandemics and geopolitical conflict could cause significant instability and disruptions in the capital and credit markets. A severe or prolonged economic downturn could result in a variety of risks to our business, including weakened demand for our therapeutic candidates and in our ability to raise additional capital when needed on acceptable terms, if at all. A weak or declining economy also could strain our partners and our suppliers, possibly resulting in development or supply disruption. We cannot anticipate all of the ways in which the foregoing, and the current economic climate and financial market conditions generally, could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depends in part on our and our partners’ ability to obtain, maintain, enforce and protect our intellectual property and proprietary rights. It is difficult and costly to protect our intellectual property rights and technologies, and we may not be able to ensure their protection. If we are unable to adequately protect our technologies or obtain and maintain patent protection for our technologies and products or if the scope of the patent protection obtained is not sufficiently broad, our competitors could develop and commercialize technologies and products similar or identical to ours, and our ability to successfully commercialize our technologies and products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large part on our and our partners’ obtaining, maintaining, enforcing and protecting patent, trademark, trade secret and other intellectual property and proprietary protection in the United States and other countries for our technologies. Our proprietary technologies include our Compass platform, genetic targets identified by our Compass platform, machine learning used by our Compass platform, our methods for developing and testing our therapeutic candidates, our therapeutic candidates themselves, and any therapeutic compounds, molecules or agents related to such therapeutic targets, including their respective components, formulations, combination therapies, methods used to manufacture them and methods of treatment. Our commercial success will also depend, in large part, on successfully defending our trademarks, trade secrets, owned patents and patent applications and other intellectual property rights against third-party challenges. We seek to protect our intellectual property position by, among other methods, filing patent applications in the United States and abroad related to our technologies, inventions and improvements that are important to the development and implementation of our business. We also rely on trade secrets, know-how and continuing technological innovation to develop and maintain our intellectual property position. Our ability to stop unauthorized third parties from making, using, selling, offering to sell, importing or otherwise commercializing our technologies or therapeutic candidates is dependent upon the extent to which we have rights under valid and enforceable patents, trade secrets or other intellectual property or proprietary rights that cover these activities. If we or our current or future partners are unable to secure and maintain patent, trade secret or other intellectual property or proprietary protection for any technologies or therapeutic candidates we or they develop, or if the scope of the protection secured is not sufficiently broad, our competitors could develop and commercialize technologies or therapeutic candidates similar or identical to ours, and our ability to commercialize any technologies or therapeutic candidates we or our partners may develop or to otherwise compete effectively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filed patent applications, both in the United States and internationally, protecting our inventions related to our MZE829 and MZE782 candidates as well as our out-licensed programs. Our MZE001 patent portfolio has been exclusively out-licensed to Shionogi, who also has the exclusive right to make decisions regarding the prosecution and enforcement of patents or patent applications within that portfolio. Our UNC13A patent portfolio has been assigned to Trace Neuroscience, Inc., who has the exclusive right to make decisions regarding the prosecution and enforcement of those respective portfolios.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provisional patent application is not eligible to become an issued patent until, among other things, we file a non-provisional patent application within 12 months of filing such provisional application. If we fail to do so, we may lose our priority date with respect to the provisional patent application and any patent protection on the inventions disclosed in the provisional patent application. The PCT system allows a single application to be filed within 12 months of the original priority date of the patent application, and for the designation of all of the PCT member states in which national patent applications can later be pursued based on the international patent application filed under the PCT. A PCT application is not eligible to become an issued patent until, among other things, we file one or more national stage patent applications within the applicable time limit, which is generally 30 or 31 months from the PCT application’s earliest priority date, depending on the jurisdiction, in the countries in which we seek patent protection. If we fail to file a national phase application in a PCT member state, we may lose our priority date in that member state with respect to the subject matter disclosed in the PCT application, as well as any patent protection in that member state on the inventions disclosed in the PCT application. While we generally intend to timely file non-provisional and national phase patent applications, as applicable, we cannot predict whether any of our current or future patent applications relating to any therapeutic targets, therapeutic candidates or technologies we have identified or may identify in the future will result in the issuance of patents that effectively protect our therapeutic targets, therapeutic candidates or technologies. If we or our partners do not successfully obtain patent protection, or, even if we or they do obtain patent protection, if the scope of the patent protection obtained with respect to any therapeutic target, therapeutic candidate and technology is not sufficiently broad, we or our partners may be unable to prevent others from using our technology or from developing or commercializing technology and products similar or identical to ours or our partners’.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patenting process is expensive and time-consuming, and we and our current or future partners may not be able to file and prosecute all necessary or desirable patent applications at a reasonable cost or in a timely manner. In addition, we or our partners may not pursue or obtain patent protection in all relevant jurisdictions, particularly in markets where translation costs are high. It is also possible that we or our partners will fail to identify patentable aspects of our or their research and development output before it is too late to obtain patent protection. Although we seek to enter into non-disclosure and confidentiality agreements with parties who have access to confidential or patentable aspects of our research and development output, such as our employees, consultants, independent contractors, advisors, CMOs, CROs, hospitals, independent treatment centers, suppliers, partners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current or future patent applications, or that we were the first to file for patent protection of such inventions. Moreover, in circumstances, including with respect to our exclusive out-licensing or assignment of our MZE001 and UNC13A patent portfolios, where we do not have the right to control the preparation, filing, prosecution, maintenance, defense or enforcement of patents or patent applications covering technologies that we currently, or may in the future, license from or license to third parties, we will be reliant on our licensors or licensees to do so. If our partners are not fully cooperative or disagree with us as to the preparation, filing, prosecution, maintenance, defense or enforcement of any licensed patent rights, such patent rights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if any, may not result in issued patents. 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may own or in -license may be challenged, narrowed, circumvented, or invalidated by third parties. Consequently, we do not know whether any of our therapeutic candidates or technologies will be protectable or remain protected by valid and enforceable patents. In addition, any future patents we obtain may not be sufficiently broad to prevent others from using our technologies or from developing competing therapeutic candidates in a non-infringing manner. In addition, given the amount of time required for the development, testing, and regulatory review of new therapeutic candidates, patents protecting such candidates might expire before or shortly after such candidates are commercialized. As a result, our patent rights may not provide us with sufficient rights to exclude others from commercializing products similar or identical to ours.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any patents we may own or in-license in the future may be challenged in the courts or patent offices in the United States and abroad. We may be subject to a third-party pre-issuance submission of prior art to the United States Patent and Trademark Office, or USPTO, or become involved in opposition, derivation, revocation, reexamination, post-grant review, </w:t>
      </w:r>
      <w:r>
        <w:rPr>
          <w:rFonts w:ascii="Times New Roman" w:hAnsi="Times New Roman"/>
          <w:i/>
          <w:color w:val="000000"/>
          <w:sz w:val="20"/>
        </w:rPr>
        <w:t>inter partes</w:t>
      </w:r>
      <w:r>
        <w:rPr>
          <w:rFonts w:ascii="Times New Roman" w:hAnsi="Times New Roman"/>
          <w:color w:val="000000"/>
          <w:sz w:val="20"/>
        </w:rPr>
        <w:t xml:space="preserve"> review or interference proceedings challenging our patent rights or the patent rights of others. An adverse determination in any such submission, proceeding or litigation could reduce the scope of, invalidate, or hold unenforceable, our patent rights, allow third parties to commercialize our technologies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technologies and products, or limit the duration of the patent protection of our technologies and therapeutic candidates. Such proceedings also may result in substantial cost and require significant time from our scientists and management, even if the eventual outcome is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the patents and patent applications we may own or in-license in the future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to the patent law in the United States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may be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Leahy-Smith America Invents Act, or the Leahy-Smith Act, which was signed into law in September 2011, made a number of significant changes to U.S. patent law, affecting the way patent applications are prosecuted, redefining prior art and providing more efficient and cost-effective avenues for competitors to challenge the validity of patents.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require patent applicants such as us to be cognizant of the time from invention to filing of a patent application and be diligent in filing patent applications. However, circumstances could prevent us from promptly filing patent applications on our inventions. Similar legislation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if any, all of which could harm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intellectual property. Depending on future actions by the U.S. Congress, the U.S. courts, the USPTO and the relevant law-making bodies in other countries, the laws and regulations governing patents could change in unpredictable ways that could have a material adverse effect on and weaken our ability to obtain and enforce new patents and patents that we or our collaboration partners might obtain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issued patents in the United States and other countries and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therapeutic candidates, and our patents, the patents of our current and future partners,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partners’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partners at risk of being invalidated or interpreted narrowly and our patent applications or the patent applications of our partners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sued for infringing, misappropriating or otherwise violating intellectual property or proprietary rights of third parties, such litigation or disputes could be costly and time-consuming and could prevent or delay us from developing or commercializing our therapeutic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therapeutic candidates and use our technologies without infringing, misappropriating or otherwise violating the intellectual property and other proprietary rights of third parties. If any third-party patents, patent applications or other intellectual or proprietary rights are enforced against us and found to be valid, enforceable and cover our therapeutic candidates or their compositions, methods of use or manufacturing, third parties owning such intellectual or proprietary rights could seek an injunction prohibiting our ability to develop, manufacture, market and sell our therapeutic candidates and technologies, or we may be required to pay damages, which could be substantial, and we would not be free to manufacture, use or market our therapeutic candidates or to do so without obtaining a license, which may not be available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become party to, or threatened with, adversarial proceedings or litigation regarding intellectual property or proprietary rights with respect to our therapeutic candidates and technologies we use in our business. Our competitors or other third parties may assert infringement, misappropriation or other claims against us alleging, for example, that our therapeutic candidates or technologies we use in our business are covered by their patents. We cannot be certain that we do not infringe existing patents or that we will not infringe patents that may be granted in the future.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our therapeutic candidates. As the biotechnology and pharmaceutical industries expand and more patents are issued, and as we gain greater visibility and market exposure as a public company, the risk increases that our existing therapeutic candidates and any other therapeutic candidates that we may develop or technologies we use in our business may be subject to claims of infringement of the patent rights of third parties.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therapeutic candidates or technologies we use in our business. If a patent holder believes our therapeutic candidates or technologies we use in our business infringe on its patent rights, the patent holder may sue us even if we have received patent protection for our therapeutic candidates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therapeutic candidates and technologies, including interference proceedings or post-grant challenges before the USPTO. Third parties may also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technologies, products or methods of using or manufacturing products. The coverage of patents is subject to interpretation by the courts, and the interpretation is not always uniform. Our analysis of these issues, including interpreting the relevance or the scope of claims in a patent or a pending application, determining applicability of such claims to our technologies or therapeutic candidates, predicting whether a third party’s pending patent application will issue with claims of relevant scope, and determining the expiration date of any patent in the United States or abroad that we consider relevant to our therapeutic candidates may be incorrect, which may negatively impact our ability to develop, manufacture, use and market our therapeutic candidates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were sued for patent infringement, we would need to demonstrate that our therapeutic candidates, technologies or methods of use, manufacturing or other applicable activities either do not infringe the patent claims of the relevant patent or that the patent claims are invalid or unenforceable, and we may not be successful in doing so. Proving invalidity or unenforceability may be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enforceability or priority. In addition, we may not have sufficient resources to bring these actions to a successful conclusion.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using or commercializing the infringing therapeutic candidate or technology. Alternatively, we may be required to obtain a license from such third party in order to use the infringing technology and continue developing, manufacturing or marketing the infringing therapeutic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and it could require us to make substantial licensing, royalty and other payments. In addition, we could be found liable for significant monetary damages, including treble damages and attorneys’ fees if we are found to have willfully infringed such third-party patent rights. A finding of infringement could prevent us from commercializing our therapeutic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other legal proceedings relating to intellectual property claims, with or without merit, are unpredictable and generally expensive and time consuming and are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such litigation or proceedings could substantially increase our operating losses and reduce the resources available for development activities or any future sales, marketing or distribution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we, or our employees or consultants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employees and consultants are currently or have been previously employed at universities or research institutions,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develop and commercialize our therapeutic candidates or technologies. Such a license may not be available on commercially reasonable terms or at all and may not be exclusive to us.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and the intellectual property subject to such agreements may not be assigned to us without additional assignments being executed, and we may fail to obtain such additional assignments. Any invention assignment agreements we have with third parties, employees, consultants or contractors may be breached, and it may be difficult or impossible to enforce them. In addition, we have several sponsored research agreements relating to our research and development efforts with various academic institutions. Some of these academic institutions may not have intellectual property assignments or similar agreements with their employees and consultants, or may not permit their employees to assign intellectual property outside the academic institution,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documentary, fee payment and other requirements imposed by governmental patent offices, and any future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issued patents and patent applications are due to be paid to the USPTO and patent offices in foreign countries in several stages over the lifetime of the patent. In addition, the USPTO and patent offices in foreign countries require compliance with a number of procedural, documentary, fee payment and other requirements during the patent application process. We may rely on partners to pay these fees due to U.S. and non-U.S. patent agencies and to comply with other requirements with respect to licensed patents and patent applications. While an inadvertent lapse may, in some jurisdictions and under certain circumstances, be cured by payment of a late fee or by other means in accordance with the applicable rules, there are situations in which noncompliance can result in abandonment or lapse of the patent or patent application, resulting in partial or complete and irrevocable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technologies, which would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therapeutic candidates and technologies could be materially adversely affected and our business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upon trade secrets, know-how and continuing technological innovation to develop and maintain our competitive position. We seek to protect our proprietary know-how and trade secrets in part by entering into non-disclosure and confidentiality agreements with parties who have access to such knowledge, such as our employees, consultants, independent contractors, advisors, CMOs, CROs, suppliers, partners and other third parties. However, we cannot guarantee that we have entered into such agreements with each party that may have or have had access to our proprietary know-how or trade secrets. Additionally, our confidentiality agreements and other contractual protections may not be adequate to protect our intellectual property from unauthorized disclosure, third-party infringement or misappropriation (such as a cybersecurity breach).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some courts in the United States and certain foreign jurisdictions are less willing or unwilling to protect trade secrets. Even if we are successful in protecting the confidentiality of our trade secrets, others may independently develop the same information or technology, or may be able to discern or reverse engineer our proprietary information or technology from public sources of information. Additionally, though our agreements with third parties typically restrict their ability to publish data potentially relating to our trade secrets, our agreements may contain certain limited publication rights.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which could harm our competitive position. If any of our trade secrets were to be disclosed to or independently developed by a competitor or other third party, our business, financial condition, results of operations and prospects could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in any agreements under which we may license intellectual property rights to or from third parties or otherwise experience disruptions to our business relationships with our current partners or any future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and may in the future from time to time enter into license or collaboration agreements with third parties to advance our research or allow commercialization of therapeutic candidates. Such agreements may impose numerous obligations, such as development, diligence, payment, commercialization, non-compete, funding, milestone, royalty, sublicensing, patent prosecution, enforcement and other obligations on us and may require us to meet development timelines, or to exercise commercially reasonable efforts to develop and commercialize licensed products, in order to maintain the licenses. In spite of our best efforts, our current partners or any future licensors might conclude that we have materially breached any of our license agreements and might therefore terminate the license agreements, thereby removing or limiting our ability to develop and commercialize products and technologies covered by these license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termination of these licenses, or if the underlying patents fail to provide the intended exclusivity, could result in the loss of significant rights and could harm our ability to commercialize our therapeutic candidates, and competitors or other third parties would have the freedom to seek regulatory approval of, and to market, products identical to ours and we may be required to cease our development and commercialization of certain of our therapeutic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also arise between us and our current partners or any future licensors regarding intellectual property subject to a license agreement,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misappropriate or otherwise violate intellectual property rights of the licensor or licensee that are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therapeutic candidates,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any patented technology;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future licensors and us and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therapeutic candidates.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cannot acquire or license rights to use technologies on reasonable terms or at all, we may not be able to commercialize our current or any future products or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may identify third-party intellectual property and technology we may need to license in order to engage in our business, including to develop or commercialize new products or technologies, and the growth of our business may depend in part on our ability to acquire, in-license or use this technology. However, such licenses may not be available to us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in return for the use of such licensor’s technology, including up-front payments, ongoing maintenance fees, payments based on certain milestones such as development and regulatory events and sales volumes, or royalties. In addition, such licenses may be non-exclusive, which could give our competitors and other third parties access to the same intellectual property licensed to us. Moreover, we could encounter delays in the introduction of products while we attempt to develop alternatives. Failure to obtain any of these licenses on favorable terms could prevent us from commercializing our current and any future therapeutic candidates and technologies.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and data exclusivity for any therapeutic candidates we may develop,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any therapeutic candidates we may develop, one or more of our U.S. patents, if issued, may be eligible for limited patent term extension under the Hatch-Waxman Amendments. The Hatch-Waxman Amendments permit a patent extension term of up to five years as compensation for patent term lost during the FDA regulatory review process, although the amount of available extension to any specific patent eligible for patent term extension depends on a variety of factors, including the date on which the patent issues and certain dates related to the regulatory review period.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To the extent we have in-licensed any U.S. patents, we may not have control over the patent term extension process and may rely on our partners to obtain a patent term extension. Moreover, under the agreements pursuant to which we out-license or assign our MZE001 and UNC13A patent portfolios, the applicable licensees have the sole right to apply for patent term extensions with respect to the licensed patents and patent applications. If we or our partners are unable to obtain patent term extension or if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any patents we may own or in-license in the future, which could be expensive, time consuming and unsuccessful and any patents we may own or in-license in the future covering our therapeutic candidates could be found invalid or unenforceable if challenged in courts or patents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and other third parties may infringe, misappropriate or otherwise violate our intellectual property rights. To counter infringement, misappropriation or other violations, we may be required to file infringement, misappropriation or other claims in order to enforce our intellectual property rights, which can be expensive and time-consuming and divert the time and attention of our management and business and scientific personnel. In addition, many of our adversaries in these proceedings may have the ability to dedicate substantially greater resources to prosecuting these legal actions than we can. Our ability to enforce our patents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third party’s product or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prevail in any lawsuits that we initiate and the damages or other remedies awarded if we were to prevail may not be commercially meaningful. In such a proceeding, a court may decide that an asserted patent is not valid or is unenforceable, or may refuse to stop the other party from using the technology at issue on the grounds that the asserted patent or other intellectual property right does not cover the third-party technology in question. An adverse result in any litigation or defense proceedings could put one or more asserted patents at risk of being invalidated or interpreted narrowly and could put related patent applications at risk of not issuing.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we were to initiate legal proceedings against a third party to enforce a patent we may own or in-license in the future covering one or more of our therapeutic candidates, the defendant could counterclaim that the patent covering our therapeutic candidate is invalid and/or unenforceable. In patent litigation in the United States or elsewhere, defendant counterclaims challenging the validity, enforceability or scope of asserted patents are commonplace. Grounds for a validity challenge could be an alleged failure to meet any of several statutory requirements, including lack of subject matter eligibility, lack of novelty, obviousness, lack of adequate written description or non-enablement. Grounds for an unenforceability assertion could be an allegation that someone connected with prosecution of the patent withheld relevant information from the USPTO or any other applicable patent office, or made a misleading statement during prosecution. Third parties may also raise similar validity claims before the USPTO in post-grant proceedings such as reexaminations, </w:t>
      </w:r>
      <w:r>
        <w:rPr>
          <w:rFonts w:ascii="Times New Roman" w:hAnsi="Times New Roman"/>
          <w:i/>
          <w:color w:val="000000"/>
          <w:sz w:val="20"/>
        </w:rPr>
        <w:t>inter partes</w:t>
      </w:r>
      <w:r>
        <w:rPr>
          <w:rFonts w:ascii="Times New Roman" w:hAnsi="Times New Roman"/>
          <w:color w:val="000000"/>
          <w:sz w:val="20"/>
        </w:rPr>
        <w:t xml:space="preserve"> review or post-grant review, or oppositions or similar proceedings in foreign patent offices, in parallel with litigation or even outside the context of litigation. Such proceedings could result in the revocation of, cancellation of, or amendment to our patents in such a way that they no longer cover our therapeutic candidates or technology.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current or future therapeutic candidates. Such a loss of patent protection would have a material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interference, derivation or other proceedings provoked by third parties or brought by us or declared by the USPTO may be necessary to determine the priority of inventions with respect to our current or future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or other third parties gain access to the same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defense of litigation or interference, derivation or other proceedings may fail and, even if successful, may result in substantial costs and distract our management and other employees. Even if we establish infringement, the court may decide not to grant an injunction against further infringing activity and instead award only monetary damages, which may or may not be an adequate remedy. Any of the foregoing could have a material adverse effect on our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use registered or unregistered trademarks or trade names to brand and market ourselves and our products. We may design or create new trademarks and apply to register them, but our trademark applications may not be approved in the United States or any other relevant jurisdiction. Our trademarks and trade names may be challenged, infringed, circumvented, declared generic, lapsed or determined to be infringing on or dilutive of other marks.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Competitors or other parties in our industry may adopt trademarks or trade names similar to ours, thereby impeding our ability to build brand identity and possibly leading to market confusion. In addition, third parties may infringe our trademarks and we may not have adequate resources to enforce our trademark rights.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Over the long term, if we are unable to establish name recognition based on our trademarks and trade names, then we may not be able to compete effectively and our business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commercial or competitive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similar to any therapeutic candidates we may develop or utilize similar technologies that are not covered by the claims of patents that we may license or may own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current or future partners, might not have been the first to make the inventions covered by an issued patent or pending patent application that we may license or own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current or future partners,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any of our owned or licensed intellectual property and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or those that we may own or license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there are prior public disclosures that could invalidate any patent we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may hold rights to in the future may not provide us with any competitive advantage, or may be held invalid or unenforceable, including as a result of legal challenges by our competitors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do not have intellectual property rights and then use the information learned from such activities to develop competitive products for sale in our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technologies or therapeutic candidates that are patentable;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or pending or future patent applications of others, if issued,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highly volatile and subject to wide fluctuations in response to various factors, some of which are outside of our control. The market price for our common stock may be influenced by many factors, including the other risks described in this “Risk Factors”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or clinical trials by us or those of our competitors or by existing or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enrollment status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and adequacy of our cash reserves;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development status of our therapeutic candidates, including variations in the level of expense related to the development of our programs or funding support by us or by existing or future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 especially changes in laws or regulations applicable to our business, or uncertainty with respect to such regulatory or legal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therapeutic candidates by us, our existing or future collaboration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therapeutic candidates,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or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or completed significant acquisitions, strategic collaborations, joint ventures, spin-outs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intellectual property and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fluctuations of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shares of our common stock by us, insiders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terrorist acts, acts of war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instability, including the occurrence of a temporary federal government shutdown;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tensions and ongoing regional military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economic downturn;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geopolitical conditions, including fluctuating interest and tariff rates, the impact of significant political, trade and regulatory developments, disruptions in the capital and credit markets, market volatility and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elect to sell securities in a public offering or private placement. For example, in September 2025, we entered into a securities purchase agreement with certain investors, pursuant to which we issued and sold in a private placement an aggregate of 4,000,002 shares of our common stock and pre-funded warrants to purchase up to an aggregate of 5,231,090 shares of our common stock. We subsequently registered the common stock (including the shares of common stock issuable upon exercise of the pre-funded warrants) under the Securities Act for resale on Form S-1, such that these shares may now be sold by the purchasers in the public market at any time. In April, 2026, we completed an underwritten registered offering pursuant to which we issued and sold an aggregate of 5,540,000 shares of our common stock and pre-funded warrants to purchase up to an aggregate of 850,000 shares of our common stock. As of June 30, 2026, there were 5,181,090 shares of our common stock subject to outstanding pre-funded warrants, with an exercise price of $0.001 per share. To the extent any of these warrants are exercised, the shares underlying these warrants may be immediately sold in the public market. These sales, or the perception in the market that we or holders of a large number of shares intend to sell shares, could reduce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company, our common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current or future clinical trials, preclinical studies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beneficial ownership of our common stock as of February 28, 2026, our executive officers, directors, holders of 5% or more of our capital stock and their respective affiliates beneficially owned approximately 52% of our voting stock. As a result, these stockholders, if acting together, will continue to have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of 1934, as amended,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of directors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voting to amend some provisions in our restated certificate of incorporation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of directors could use to implement a stockholder rights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other employees, which may discourage lawsuits with respect to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claims brought to enforce any duty or liability created by the Securities Act or the rules and regulations thereunder. Our restated certificate of incorporation provides that the federal district courts of the United States is, to the fullest extent permitted by law,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must devote substantial time to compliance matters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and particularly after we are no longer an EGC, we incur significant legal, accounting and other expenses that we did not incur as a private company. The Sarbanes-Oxley Act of 2002, as amended, or the Sarbanes-Oxley Act, the Dodd-Frank Wall Street Reform and Consumer Protection Act, the listing requirements of the Nasdaq Stock Market, LLC, or Nasdaq, and other applicable securities rules and regulations impose various requirements on public companies, like us, including establishment and maintenance of effective disclosure and financial controls and corporate governance practices. Our management and other personnel devote a substantial amount of time to these compliance matters. Moreover, these rules and regulations have substantially increased our legal and financial compliance costs and have made some activities more time consuming and costly. For example, as a public company, it is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“EGC” and we cannot be certain if the reduced reporting requirements applicable to EGCs will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“EGC” as defined in the JOBS Act. For as long as we continue to be an EGC, we may take advantage of exemptions from various reporting requirements that are applicable to other public companies that are not EGCs, including (i) not being required to comply with the auditor attestation requirements of the Sarbanes-Oxley Act, (ii) reduced disclosure obligations regarding executive compensation in our Annual Reports on Form 10-K and our other periodic reports and proxy statements and (iii) exemptions from the requirements of holding nonbinding advisory stockholder votes on executive compensation and stockholder approval of any golden parachute payments not approved previously. In addition, as an EGC, we are only required to provide two years of audited financial statements and two years of selected financial data in our Annual Reports on Form 10-K.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could be an EGC for up to five fiscal years following the completion of our initial public offering;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EGCs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“EGC”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31, 2025, we determined that we will no longer be a smaller reporting company, beginning with our first quarterly report for the quarter ending March 31, 2026. However, because we remain an EGC,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if we choose to rely on these exemptions. If some investors find our common stock less attractive as a result, there may be a less active trading market for our common stock and our share price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litigation from time to time,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The stock market in general, and Nasdaq-listed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We may also become subject to intellectual property, commercial or other litigation based on our statements, claims, actions, or inactions, among other things. Litigation against us could result in substantial costs and divert our management’s attention from other business concerns,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Unstable market and economic conditions and 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tariffs, inflation, a potential recession, uncertainty with respect to federal policy, regulations and employment, including those affecting healthcare regulatory bodies such HHS, CDC and FDA, among others, military conflict, terrorism or other geopolitical events. Sanctions or tariffs imposed by the United States and other countries in response to such matters may also adversely impact the financial markets and the global economy, and any economic countermeasures by the affected countries or others could exacerbate market and economic instability. In addition, adverse developments that affect financial institutions, such as events involving liquidity that are rumored or actual, have in the past and may in the future lead to market-wide liquidity problems. For example, in March 2023, Silicon Valley Bank was closed by the California Department of Financial Protection and Innovation, which appointed the Federal Deposit Insurance Corporation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immediately liquidity may still occur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fluctuating interest rates have led to a decline in the trading value of previously issued government securities with interest rates below current market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or regulations could be enacted at any time, which may adversely affect our business, financial condition, results of operations and prospects. Further, existing tax laws, statutes, rules, or regulations could be interpreted, changed, modified or applied adversely to us.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For example, for our 2022 to 2024 tax years, applicable law requires taxpayers to capitalize and amortize certain research and development expenditures over five years if incurred in the United States and fifteen years if incurred in foreign jurisdictions, rather than deducting them concurrently. Beginning with our 2025 tax year, tax legislation has restored immediate deductibility of domestic expenditures, while foreign expenditures will continue to be capitalized and amortized over a 15-year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controls over financial reporting beginning with this Annual Report on Form 10-K. When we lose our status as an “EGC” and become an “accelerated filer” or a “large accelerated filer,” our independent registered public accounting firm will be required to attest to the effectiveness of our internal controls over financial reporting. The rules governing the standards that must be met for management to assess our internal controls over financial reporting are complex and require significant documentation, testing, and possible remediation. To comply with Section 404, we must document and evaluate our internal controls over financial reporting, which is both costly and challenging. In this regard, we have dedicated significant internal resources, have engaged outside consultants as needed, and have adopted a detailed work plan to (i) assess and document the adequacy of internal control over financial reporting, (ii) take steps to improve control processes as appropriate, (iii) validate through testing that controls are functioning as documented, and (iv) implement a continuous reporting and improvement process for internal control over financial reporting. This process is time-consuming, costly and complicated.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internal controls and procedures, no matter how well conceived and operated, can provide only reasonable, not absolute, assurance that the objectives of the control system are met. There may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fires, power shortages or other natural disasters our business continuity and disaster recovery plans may not provide adequate protection or coverage.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operations are primarily located in the San Francisco Bay Area. Any unplanned event, such as earthquake, flood, fire, explosion, extreme weather condition,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therapeutic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Our disaster recovery and business continuity plans may prove inadequate in the event of a serious disaster or similar event. We may incur substantial expenses as a result of the limited nature of our disaster recovery and business continuity plans, which could have a material adverse effect on our business, financial condition, results of operation and prospects.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incident or for any other reason, even for a short period of time, any or all of our research and development programs may be harmed. Any such business interruption could have a material and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2_unregistered_sale_of_secu"/>
      <w:bookmarkEnd w:id="17"/>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Initial Public Offering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30, 2025, our registration statement on Form S-1 (File No 333-284164) relating to our initial public offering of common stock was declared effective by the U.S. Securities and Exchange Commission, or the SEC. Upon the closing of the initial public offering on February 3, 2025, we issued 8,750,000 shares of common stock at a public offering price of $16.00 per share, resulting in net proceeds of approximately $127.8 million, after deducting underwriting discounts, commissions and other payable offering expenses of approximately $12.2 million. J.P. Morgan Securities LLC, TD Securities (USA) LLC, Leerink Partners LLC and Guggenheim Securities, LLC acted as joint book-running managers for the offering. None of the expenses associated with our initial public offering were paid, directly or indirectly, to any of our directors or officers, any persons owning 10% or more of any class of equity securities, or to any of our affiliates.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the initial public offering as described in the prospectus filed with the SEC pursuant to Rule 424(b)(4) under the Securities Act on January 31, 2025.</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During the three months ended June 30, 2026, the following directors and/or officers (as defined in Rule 16a-1(f) under the Exchange Act) adopted, modified or terminated a “Rule 10b5-1 trading arrangement” or “non-Rule 10b5-1 trading arrangement,” in each case as defined in Item 408 of Regulation S-K.</w:t>
      </w:r>
    </w:p>
    <w:tbl>
      <w:tblPr>
        <w:tblW w:w="10205" w:type="dxa"/>
        <w:jc w:val="left"/>
        <w:tblInd w:w="0" w:type="dxa"/>
        <w:tblLayout w:type="fixed"/>
        <w:tblCellMar>
          <w:top w:w="28" w:type="dxa"/>
          <w:left w:w="28" w:type="dxa"/>
          <w:bottom w:w="28" w:type="dxa"/>
          <w:right w:w="28" w:type="dxa"/>
        </w:tblCellMar>
      </w:tblPr>
      <w:tblGrid>
        <w:gridCol w:w="2258"/>
        <w:gridCol w:w="901"/>
        <w:gridCol w:w="1132"/>
        <w:gridCol w:w="703"/>
        <w:gridCol w:w="796"/>
        <w:gridCol w:w="809"/>
        <w:gridCol w:w="290"/>
        <w:gridCol w:w="1200"/>
        <w:gridCol w:w="146"/>
        <w:gridCol w:w="146"/>
        <w:gridCol w:w="1824"/>
      </w:tblGrid>
      <w:tr>
        <w:trPr/>
        <w:tc>
          <w:tcPr>
            <w:tcW w:w="225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Character of Trading Arrangement</w:t>
            </w:r>
          </w:p>
        </w:tc>
      </w:tr>
      <w:tr>
        <w:trPr/>
        <w:tc>
          <w:tcPr>
            <w:tcW w:w="2258"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Rule</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Non-Rule</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of Trading</w:t>
            </w:r>
          </w:p>
        </w:tc>
      </w:tr>
      <w:tr>
        <w:trPr/>
        <w:tc>
          <w:tcPr>
            <w:tcW w:w="225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Title</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Taken</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10b5-1*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10b5-1**</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Arrangement</w:t>
            </w:r>
            <w:r>
              <w:rPr>
                <w:rFonts w:ascii="Times New Roman" w:hAnsi="Times New Roman"/>
                <w:b/>
                <w:color w:val="000000"/>
                <w:sz w:val="11"/>
              </w:rPr>
              <w:t>(1)</w:t>
            </w:r>
          </w:p>
        </w:tc>
      </w:tr>
      <w:tr>
        <w:trPr/>
        <w:tc>
          <w:tcPr>
            <w:tcW w:w="2258" w:type="dxa"/>
            <w:tcBorders>
              <w:left w:val="single" w:sz="4" w:space="0" w:color="000000"/>
              <w:bottom w:val="single" w:sz="4" w:space="0" w:color="000000"/>
            </w:tcBorders>
            <w:shd w:fill="CFF0FC" w:val="clear"/>
            <w:tcMar>
              <w:top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Amy Bachrodt, SVP, Finance</w:t>
            </w:r>
            <w:r>
              <w:rPr>
                <w:rFonts w:ascii="Times New Roman" w:hAnsi="Times New Roman"/>
                <w:color w:val="000000"/>
                <w:sz w:val="11"/>
              </w:rPr>
              <w:t>(2)</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Terminated</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28, 2026</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Sale</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12/29/2025-12/31/2026</w:t>
            </w:r>
          </w:p>
        </w:tc>
      </w:tr>
      <w:tr>
        <w:trPr/>
        <w:tc>
          <w:tcPr>
            <w:tcW w:w="10205" w:type="dxa"/>
            <w:gridSpan w:val="11"/>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instruction or written plan intended to satisfy the affirmative defense conditions of Rule 10b5-1(c) under the Exchange Act.</w:t>
            </w:r>
          </w:p>
        </w:tc>
      </w:tr>
      <w:tr>
        <w:trPr/>
        <w:tc>
          <w:tcPr>
            <w:tcW w:w="10205" w:type="dxa"/>
            <w:gridSpan w:val="11"/>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**"Non-Rule 10b5-1 trading arrangement" as defined in Item 408(c) of Regulation S-K under the Exchange Act.</w:t>
            </w:r>
          </w:p>
        </w:tc>
      </w:tr>
      <w:tr>
        <w:trPr/>
        <w:tc>
          <w:tcPr>
            <w:tcW w:w="10205" w:type="dxa"/>
            <w:gridSpan w:val="11"/>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The trading arrangement may expire on an earlier date if and when all transactions under the arrangement are completed.</w:t>
            </w:r>
          </w:p>
        </w:tc>
      </w:tr>
      <w:tr>
        <w:trPr/>
        <w:tc>
          <w:tcPr>
            <w:tcW w:w="10205" w:type="dxa"/>
            <w:gridSpan w:val="11"/>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 Amy Bachrodt resigned as SVP, Finance of Maze Therapeutics, Inc. (the “Company”), effective June 1,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
        <w:gridCol w:w="146"/>
        <w:gridCol w:w="5809"/>
        <w:gridCol w:w="146"/>
        <w:gridCol w:w="511"/>
        <w:gridCol w:w="146"/>
        <w:gridCol w:w="741"/>
        <w:gridCol w:w="146"/>
        <w:gridCol w:w="691"/>
        <w:gridCol w:w="146"/>
        <w:gridCol w:w="994"/>
      </w:tblGrid>
      <w:tr>
        <w:trPr/>
        <w:tc>
          <w:tcPr>
            <w:tcW w:w="7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4" w:type="dxa"/>
            <w:tcBorders/>
            <w:shd w:fill="FFFFFF" w:val="clear"/>
            <w:vAlign w:val="center"/>
          </w:tcPr>
          <w:p>
            <w:pPr>
              <w:pStyle w:val="TableContents"/>
              <w:bidi w:val="0"/>
              <w:spacing w:before="0" w:after="283"/>
              <w:jc w:val="left"/>
              <w:rPr>
                <w:sz w:val="4"/>
                <w:szCs w:val="4"/>
              </w:rPr>
            </w:pPr>
            <w:r>
              <w:rPr>
                <w:sz w:val="4"/>
                <w:szCs w:val="4"/>
              </w:rPr>
            </w:r>
          </w:p>
        </w:tc>
      </w:tr>
      <w:tr>
        <w:trPr/>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5" w:type="dxa"/>
            <w:gridSpan w:val="7"/>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29"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8"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5809" w:type="dxa"/>
            <w:tcBorders>
              <w:bottom w:val="single" w:sz="4" w:space="0" w:color="000000"/>
            </w:tcBorders>
            <w:tcMar>
              <w:top w:w="0" w:type="dxa"/>
              <w:left w:w="0" w:type="dxa"/>
              <w:bottom w:w="29"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74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994"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4/22/2026</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hyperlink w:anchor="maze-ex10_1.htm">
              <w:r>
                <w:rPr>
                  <w:rStyle w:val="InternetLink"/>
                  <w:rFonts w:ascii="Times New Roman" w:hAnsi="Times New Roman"/>
                  <w:color w:val="0000FF"/>
                  <w:sz w:val="20"/>
                  <w:u w:val="single"/>
                </w:rPr>
                <w:t>Non-Employee Director Compensation Policy, as amended June 1,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hyperlink w:anchor="maze-ex31_1.htm">
              <w:r>
                <w:rPr>
                  <w:rStyle w:val="InternetLink"/>
                  <w:rFonts w:ascii="Times New Roman" w:hAnsi="Times New Roman"/>
                  <w:color w:val="0000FF"/>
                  <w:sz w:val="20"/>
                  <w:u w:val="single"/>
                </w:rPr>
                <w:t>Certification of Chief Executive Officer Pursuant to Rule 13a-14(a) or Rule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hyperlink w:anchor="maze-ex31_2.htm">
              <w:r>
                <w:rPr>
                  <w:rStyle w:val="InternetLink"/>
                  <w:rFonts w:ascii="Times New Roman" w:hAnsi="Times New Roman"/>
                  <w:color w:val="0000FF"/>
                  <w:sz w:val="20"/>
                  <w:u w:val="single"/>
                </w:rPr>
                <w:t>Certification of Chief Financial Officer Pursuant to Rule 13a-14(a) or Rule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hyperlink w:anchor="maze-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pPr>
            <w:hyperlink w:anchor="maze-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Quarterly Report on Form 10-Q to be signed on its behalf by the undersigned, thereunto duly authorized.</w:t>
      </w:r>
    </w:p>
    <w:p>
      <w:pPr>
        <w:pStyle w:val="TextBody"/>
        <w:bidi w:val="0"/>
        <w:jc w:val="left"/>
        <w:rPr/>
      </w:pPr>
      <w:r>
        <w:rPr/>
        <w:t> </w:t>
      </w:r>
    </w:p>
    <w:p>
      <w:pPr>
        <w:pStyle w:val="TextBody"/>
        <w:bidi w:val="0"/>
        <w:jc w:val="left"/>
        <w:rPr/>
      </w:pPr>
      <w:r>
        <w:rPr/>
        <w:t> </w:t>
      </w:r>
    </w:p>
    <w:tbl>
      <w:tblPr>
        <w:tblW w:w="5009" w:type="dxa"/>
        <w:jc w:val="left"/>
        <w:tblInd w:w="0" w:type="dxa"/>
        <w:tblLayout w:type="fixed"/>
        <w:tblCellMar>
          <w:top w:w="28" w:type="dxa"/>
          <w:left w:w="28" w:type="dxa"/>
          <w:bottom w:w="28" w:type="dxa"/>
          <w:right w:w="28" w:type="dxa"/>
        </w:tblCellMar>
      </w:tblPr>
      <w:tblGrid>
        <w:gridCol w:w="1951"/>
        <w:gridCol w:w="406"/>
        <w:gridCol w:w="14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MAZE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Jason Coloma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Coloma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1951"/>
        <w:gridCol w:w="406"/>
        <w:gridCol w:w="14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MAZE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Misbah Tahir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Misbah Tahir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3" w:name="maze-ex10_1.htm"/>
      <w:bookmarkStart w:id="24" w:name="ksmazeex10_1"/>
      <w:bookmarkEnd w:id="23"/>
      <w:bookmarkEnd w:id="24"/>
      <w:r>
        <w:rPr>
          <w:rFonts w:ascii="Times New Roman" w:hAnsi="Times New Roman"/>
          <w:b/>
          <w:color w:val="000000"/>
          <w:sz w:val="18"/>
        </w:rPr>
        <w:t>Exhibit 10.1</w:t>
      </w:r>
      <w:r>
        <w:br w:type="page"/>
      </w:r>
    </w:p>
    <w:p>
      <w:pPr>
        <w:pStyle w:val="TextBody"/>
        <w:bidi w:val="0"/>
        <w:jc w:val="center"/>
        <w:rPr>
          <w:rFonts w:ascii="Times New Roman" w:hAnsi="Times New Roman"/>
          <w:sz w:val="20"/>
        </w:rPr>
      </w:pPr>
      <w:r>
        <w:rPr>
          <w:rFonts w:ascii="Times New Roman" w:hAnsi="Times New Roman"/>
          <w:b/>
          <w:color w:val="000000"/>
          <w:sz w:val="22"/>
        </w:rPr>
        <w:t>MAZE THERAPEUTICS, INC.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b/>
          <w:color w:val="000000"/>
          <w:sz w:val="22"/>
        </w:rPr>
        <w: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Non-Employee Director Compensation Policy</w:t>
      </w:r>
    </w:p>
    <w:p>
      <w:pPr>
        <w:pStyle w:val="TextBody"/>
        <w:bidi w:val="0"/>
        <w:jc w:val="center"/>
        <w:rPr>
          <w:rFonts w:ascii="Times New Roman" w:hAnsi="Times New Roman"/>
          <w:b/>
          <w:color w:val="000000"/>
          <w:sz w:val="22"/>
        </w:rPr>
      </w:pPr>
      <w:r>
        <w:rPr>
          <w:rFonts w:ascii="Times New Roman" w:hAnsi="Times New Roman"/>
          <w:b/>
          <w:color w:val="000000"/>
          <w:sz w:val="22"/>
        </w:rPr>
        <w:t>Effective January 30 2025</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June 1, 2026</w:t>
      </w:r>
    </w:p>
    <w:p>
      <w:pPr>
        <w:pStyle w:val="TextBody"/>
        <w:bidi w:val="0"/>
        <w:spacing w:before="0" w:after="240"/>
        <w:jc w:val="both"/>
        <w:rPr>
          <w:rFonts w:ascii="Times New Roman" w:hAnsi="Times New Roman"/>
          <w:sz w:val="20"/>
        </w:rPr>
      </w:pPr>
      <w:r>
        <w:rPr>
          <w:rFonts w:ascii="Times New Roman" w:hAnsi="Times New Roman"/>
          <w:color w:val="000000"/>
          <w:sz w:val="22"/>
        </w:rPr>
        <w:t>The Company’s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believes it is in the best interests of the Company and its stockholders to adopt a compensation program for non-employee directors as set forth herein (the “</w:t>
      </w:r>
      <w:r>
        <w:rPr>
          <w:rFonts w:ascii="Times New Roman" w:hAnsi="Times New Roman"/>
          <w:b/>
          <w:i/>
          <w:color w:val="000000"/>
          <w:sz w:val="22"/>
        </w:rPr>
        <w:t>Non-Employee Director Compensation Policy</w:t>
      </w:r>
      <w:r>
        <w:rPr>
          <w:rFonts w:ascii="Times New Roman" w:hAnsi="Times New Roman"/>
          <w:color w:val="000000"/>
          <w:sz w:val="20"/>
        </w:rPr>
        <w:t xml:space="preserve">” </w:t>
      </w:r>
      <w:r>
        <w:rPr>
          <w:rFonts w:ascii="Times New Roman" w:hAnsi="Times New Roman"/>
          <w:color w:val="000000"/>
          <w:sz w:val="22"/>
        </w:rPr>
        <w:t>or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to provide for an annual cash retainer and certain equity awards in consideration of each non-employee director’s service on the Board and any committees thereof. This Policy may be amended or terminated at any time in the sole discretion of the Board.</w:t>
      </w:r>
      <w:r>
        <w:rPr>
          <w:rFonts w:ascii="Times New Roman" w:hAnsi="Times New Roman"/>
          <w:color w:val="000000"/>
          <w:sz w:val="20"/>
        </w:rPr>
        <w:t xml:space="preserve"> </w:t>
      </w:r>
    </w:p>
    <w:p>
      <w:pPr>
        <w:pStyle w:val="TextBody"/>
        <w:bidi w:val="0"/>
        <w:jc w:val="both"/>
        <w:rPr>
          <w:rFonts w:ascii="Times New Roman" w:hAnsi="Times New Roman"/>
          <w:b/>
          <w:i/>
          <w:color w:val="000000"/>
          <w:sz w:val="22"/>
          <w:u w:val="single"/>
        </w:rPr>
      </w:pPr>
      <w:r>
        <w:rPr>
          <w:rFonts w:ascii="Times New Roman" w:hAnsi="Times New Roman"/>
          <w:b/>
          <w:i/>
          <w:color w:val="000000"/>
          <w:sz w:val="22"/>
          <w:u w:val="single"/>
        </w:rPr>
        <w:t>Cash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Cash compensation payable to each non-employee director shall consist of the following annual fees, which shall be paid quarterly in arrears and shall be pro-rated for partial quarters served, including for the initial quarter in which this Policy is adopted: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 xml:space="preserve">General Board Service Fee: $40,000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Board Chair Fee (in addition to General Board Service Fee): $30,000</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Committee Chair Service Fee (in addition to General Board Service Fee; in lieu of Non-Chair Committee Member Service Fee set forth below):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Audit Committee chair: $20,000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Compensation Committee chair: $15,000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Nominating and Governance Committee chair: $10,000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Research and Development Committee chair: $15,000</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Non-Chair Committee Member Service Fee (in addition to General Board Service Fee; in lieu of Committee Chair Service Fee set forth above):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Audit Committee member: $10,000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Compensation Committee member: $7,500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Nominating and Governance Committee member: $5,000</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Research and Development Committee member: $7,500</w:t>
      </w:r>
    </w:p>
    <w:p>
      <w:pPr>
        <w:pStyle w:val="TextBody"/>
        <w:bidi w:val="0"/>
        <w:jc w:val="both"/>
        <w:rPr/>
      </w:pPr>
      <w:r>
        <w:rPr/>
        <w:t> </w:t>
      </w:r>
    </w:p>
    <w:p>
      <w:pPr>
        <w:pStyle w:val="TextBody"/>
        <w:bidi w:val="0"/>
        <w:jc w:val="both"/>
        <w:rPr>
          <w:rFonts w:ascii="Times New Roman" w:hAnsi="Times New Roman"/>
          <w:b/>
          <w:i/>
          <w:color w:val="000000"/>
          <w:sz w:val="22"/>
          <w:u w:val="single"/>
        </w:rPr>
      </w:pPr>
      <w:r>
        <w:rPr>
          <w:rFonts w:ascii="Times New Roman" w:hAnsi="Times New Roman"/>
          <w:b/>
          <w:i/>
          <w:color w:val="000000"/>
          <w:sz w:val="22"/>
          <w:u w:val="single"/>
        </w:rPr>
        <w:t>Equity Compensation – Initial Award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Upon election or appointment as a member of the Board, each non-employee director shall be granted an option (an, “</w:t>
      </w:r>
      <w:r>
        <w:rPr>
          <w:rFonts w:ascii="Times New Roman" w:hAnsi="Times New Roman"/>
          <w:b/>
          <w:i/>
          <w:color w:val="000000"/>
          <w:sz w:val="22"/>
        </w:rPr>
        <w:t>Option</w:t>
      </w:r>
      <w:r>
        <w:rPr>
          <w:rFonts w:ascii="Times New Roman" w:hAnsi="Times New Roman"/>
          <w:color w:val="000000"/>
          <w:sz w:val="20"/>
        </w:rPr>
        <w:t>”</w:t>
      </w:r>
      <w:r>
        <w:rPr>
          <w:rFonts w:ascii="Times New Roman" w:hAnsi="Times New Roman"/>
          <w:color w:val="000000"/>
          <w:sz w:val="22"/>
        </w:rPr>
        <w:t>) to purchase the lesser of (i) Thirty-Six Thousand (36,000) shares of Company common stock (“</w:t>
      </w:r>
      <w:r>
        <w:rPr>
          <w:rFonts w:ascii="Times New Roman" w:hAnsi="Times New Roman"/>
          <w:b/>
          <w:i/>
          <w:color w:val="000000"/>
          <w:sz w:val="22"/>
        </w:rPr>
        <w:t>Common Stock</w:t>
      </w:r>
      <w:r>
        <w:rPr>
          <w:rFonts w:ascii="Times New Roman" w:hAnsi="Times New Roman"/>
          <w:color w:val="000000"/>
          <w:sz w:val="20"/>
        </w:rPr>
        <w:t>”</w:t>
      </w:r>
      <w:r>
        <w:rPr>
          <w:rFonts w:ascii="Times New Roman" w:hAnsi="Times New Roman"/>
          <w:color w:val="000000"/>
          <w:sz w:val="22"/>
        </w:rPr>
        <w:t>) or (ii) such number of shares of Common Stock resulting in such Option having a grant date fair value (as determined in accordance with Financial Accounting Standards Board Accounting Standards Codification Topic 718 (“</w:t>
      </w:r>
      <w:r>
        <w:rPr>
          <w:rFonts w:ascii="Times New Roman" w:hAnsi="Times New Roman"/>
          <w:b/>
          <w:i/>
          <w:color w:val="000000"/>
          <w:sz w:val="22"/>
        </w:rPr>
        <w:t>ASC 718</w:t>
      </w:r>
      <w:r>
        <w:rPr>
          <w:rFonts w:ascii="Times New Roman" w:hAnsi="Times New Roman"/>
          <w:color w:val="000000"/>
          <w:sz w:val="20"/>
        </w:rPr>
        <w:t>”</w:t>
      </w:r>
      <w:r>
        <w:rPr>
          <w:rFonts w:ascii="Times New Roman" w:hAnsi="Times New Roman"/>
          <w:color w:val="000000"/>
          <w:sz w:val="22"/>
        </w:rPr>
        <w:t>)) equal to $750,000, in either case under the Company’s 2025 Equity Incentive Plan or any applicable successor thereto (such award, the “</w:t>
      </w:r>
      <w:r>
        <w:rPr>
          <w:rFonts w:ascii="Times New Roman" w:hAnsi="Times New Roman"/>
          <w:b/>
          <w:i/>
          <w:color w:val="000000"/>
          <w:sz w:val="22"/>
        </w:rPr>
        <w:t>Initial Award</w:t>
      </w:r>
      <w:r>
        <w:rPr>
          <w:rFonts w:ascii="Times New Roman" w:hAnsi="Times New Roman"/>
          <w:color w:val="000000"/>
          <w:sz w:val="20"/>
        </w:rPr>
        <w:t xml:space="preserve">” </w:t>
      </w:r>
      <w:r>
        <w:rPr>
          <w:rFonts w:ascii="Times New Roman" w:hAnsi="Times New Roman"/>
          <w:color w:val="000000"/>
          <w:sz w:val="22"/>
        </w:rPr>
        <w:t>and such plan, the “</w:t>
      </w:r>
      <w:r>
        <w:rPr>
          <w:rFonts w:ascii="Times New Roman" w:hAnsi="Times New Roman"/>
          <w:b/>
          <w:i/>
          <w:color w:val="000000"/>
          <w:sz w:val="22"/>
        </w:rPr>
        <w:t>Equity Plan</w:t>
      </w:r>
      <w:r>
        <w:rPr>
          <w:rFonts w:ascii="Times New Roman" w:hAnsi="Times New Roman"/>
          <w:color w:val="000000"/>
          <w:sz w:val="20"/>
        </w:rPr>
        <w:t>”</w:t>
      </w:r>
      <w:r>
        <w:rPr>
          <w:rFonts w:ascii="Times New Roman" w:hAnsi="Times New Roman"/>
          <w:color w:val="000000"/>
          <w:sz w:val="22"/>
        </w:rPr>
        <w:t>) and be evidenced by a stock option agreement (the “</w:t>
      </w:r>
      <w:r>
        <w:rPr>
          <w:rFonts w:ascii="Times New Roman" w:hAnsi="Times New Roman"/>
          <w:b/>
          <w:i/>
          <w:color w:val="000000"/>
          <w:sz w:val="22"/>
        </w:rPr>
        <w:t>Option Agreement</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Initial Award will be granted on the date of the non-employee director’s appointment to the Board (the “</w:t>
      </w:r>
      <w:r>
        <w:rPr>
          <w:rFonts w:ascii="Times New Roman" w:hAnsi="Times New Roman"/>
          <w:b/>
          <w:i/>
          <w:color w:val="000000"/>
          <w:sz w:val="22"/>
        </w:rPr>
        <w:t>Initial Award Grant Date</w:t>
      </w:r>
      <w:r>
        <w:rPr>
          <w:rFonts w:ascii="Times New Roman" w:hAnsi="Times New Roman"/>
          <w:color w:val="000000"/>
          <w:sz w:val="20"/>
        </w:rPr>
        <w:t>”</w:t>
      </w:r>
      <w:r>
        <w:rPr>
          <w:rFonts w:ascii="Times New Roman" w:hAnsi="Times New Roman"/>
          <w:color w:val="000000"/>
          <w:sz w:val="22"/>
        </w:rPr>
        <w:t>) with an exercise price equal to the fair market value of Common Stock on the Initial Award Grant Date, as determined pursuant to the terms of the Equity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Initial Award shall vest as to 1/36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of the total number of shares subject to the Initial Award on each monthly anniversary of the Initial Award Grant Date such that the Initial Award shall be fully vested on the third annual anniversary of the Initial Award Grant Date, in each case, so long as the non-employee director continues to provide Services (as defined in the Equity Plan) to the Company through such date. If a non-employee director’s Service ends on the date of vesting, then the vesting shall be deemed to have occurred.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Initial Award shall accelerate in full upon the consummation of a Corporate Transaction (as defined in the Equity Plan) if the applicable non-employee director is then in Service to the Company.</w:t>
      </w:r>
    </w:p>
    <w:p>
      <w:pPr>
        <w:pStyle w:val="TextBody"/>
        <w:bidi w:val="0"/>
        <w:jc w:val="both"/>
        <w:rPr/>
      </w:pPr>
      <w:r>
        <w:rPr/>
        <w:t> </w:t>
      </w:r>
    </w:p>
    <w:p>
      <w:pPr>
        <w:pStyle w:val="TextBody"/>
        <w:bidi w:val="0"/>
        <w:jc w:val="both"/>
        <w:rPr>
          <w:rFonts w:ascii="Times New Roman" w:hAnsi="Times New Roman"/>
          <w:b/>
          <w:i/>
          <w:color w:val="000000"/>
          <w:sz w:val="22"/>
          <w:u w:val="single"/>
        </w:rPr>
      </w:pPr>
      <w:r>
        <w:rPr>
          <w:rFonts w:ascii="Times New Roman" w:hAnsi="Times New Roman"/>
          <w:b/>
          <w:i/>
          <w:color w:val="000000"/>
          <w:sz w:val="22"/>
          <w:u w:val="single"/>
        </w:rPr>
        <w:t>Equity Compensation – Annual Award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On the date of each annual meeting of the Company’s stockholders, each non-employee director who is serving on the Board immediately prior to (provided that the non-employee director must have initially joined the Board by no later than January 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prior to the Company’s annual stockholder meeting), and will continue to serve on the Board following, the annual meeting shall be granted an Option under the Equity Plan to purchase the lesser of (i) Eighteen Thousand (18,000) shares of Company Common Stock or (ii) such number of shares of Common Stock resulting in such Option having a grant date fair value (as determined in accordance with ASC 718) equal to $375,000, in either case under the Equity Plan (such award, the “</w:t>
      </w:r>
      <w:r>
        <w:rPr>
          <w:rFonts w:ascii="Times New Roman" w:hAnsi="Times New Roman"/>
          <w:b/>
          <w:i/>
          <w:color w:val="000000"/>
          <w:sz w:val="22"/>
        </w:rPr>
        <w:t>Annual Award</w:t>
      </w:r>
      <w:r>
        <w:rPr>
          <w:rFonts w:ascii="Times New Roman" w:hAnsi="Times New Roman"/>
          <w:color w:val="000000"/>
          <w:sz w:val="20"/>
        </w:rPr>
        <w:t>”</w:t>
      </w:r>
      <w:r>
        <w:rPr>
          <w:rFonts w:ascii="Times New Roman" w:hAnsi="Times New Roman"/>
          <w:color w:val="000000"/>
          <w:sz w:val="22"/>
        </w:rPr>
        <w:t>) and be evidenced by an Option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Annual Award will automatically be granted on the date of the annual meeting of the Company’s stockholders (the “</w:t>
      </w:r>
      <w:r>
        <w:rPr>
          <w:rFonts w:ascii="Times New Roman" w:hAnsi="Times New Roman"/>
          <w:b/>
          <w:i/>
          <w:color w:val="000000"/>
          <w:sz w:val="22"/>
        </w:rPr>
        <w:t>Annual Award Grant Date</w:t>
      </w:r>
      <w:r>
        <w:rPr>
          <w:rFonts w:ascii="Times New Roman" w:hAnsi="Times New Roman"/>
          <w:color w:val="000000"/>
          <w:sz w:val="20"/>
        </w:rPr>
        <w:t>”</w:t>
      </w:r>
      <w:r>
        <w:rPr>
          <w:rFonts w:ascii="Times New Roman" w:hAnsi="Times New Roman"/>
          <w:color w:val="000000"/>
          <w:sz w:val="22"/>
        </w:rPr>
        <w:t>) and will have an exercise price with an exercise price equal to the fair market value of Common Stock on the Annual Award Grant Date, as determined pursuant to the terms of the Equity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Annual Award shall fully vest on the earlier of (i) the one-year anniversary of the Annual Award Grant Date and (ii) the next annual meeting of the Company’s stockholders, so long as the non-employee director continues to provide Services to the Company through the applicable vesting date. If a non-employee director’s Service ends on the date of vesting, then the vesting shall be deemed to have occurred.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Annual Award shall accelerate in full upon the consummation of a Corporate Transaction (as defined in the Equity Plan) if the applicable non-employee director is then in Service to the Company.</w:t>
      </w:r>
    </w:p>
    <w:p>
      <w:pPr>
        <w:pStyle w:val="TextBody"/>
        <w:bidi w:val="0"/>
        <w:jc w:val="both"/>
        <w:rPr/>
      </w:pPr>
      <w:r>
        <w:rPr/>
        <w:t> </w:t>
      </w:r>
    </w:p>
    <w:p>
      <w:pPr>
        <w:pStyle w:val="TextBody"/>
        <w:bidi w:val="0"/>
        <w:jc w:val="both"/>
        <w:rPr>
          <w:rFonts w:ascii="Times New Roman" w:hAnsi="Times New Roman"/>
          <w:b/>
          <w:i/>
          <w:color w:val="000000"/>
          <w:sz w:val="22"/>
          <w:u w:val="single"/>
        </w:rPr>
      </w:pPr>
      <w:r>
        <w:rPr>
          <w:rFonts w:ascii="Times New Roman" w:hAnsi="Times New Roman"/>
          <w:b/>
          <w:i/>
          <w:color w:val="000000"/>
          <w:sz w:val="22"/>
          <w:u w:val="single"/>
        </w:rPr>
        <w:t>Compensation Limit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Notwithstanding any other provision of this Policy to the contrary, in no event will the total amount of annual compensation payable to any non-employee director following the effective date of this Policy exceed the limits set forth in Section 12.2 of the Equity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maze-ex31_1.htm"/>
      <w:bookmarkStart w:id="26" w:name="ksmazeex31_1"/>
      <w:bookmarkEnd w:id="25"/>
      <w:bookmarkEnd w:id="26"/>
      <w:r>
        <w:rPr>
          <w:rFonts w:ascii="Times New Roman" w:hAnsi="Times New Roman"/>
          <w:b/>
          <w:color w:val="000000"/>
          <w:sz w:val="20"/>
        </w:rPr>
        <w:t>Exhibit 31.1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OF PERIODIC REPORT UNDER SECTION 302 OF</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Jason Coloma, Ph.D., certify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have reviewed this Quarterly Report on Form 10-Q of Maze Therapeutics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August 11, 2026</w:t>
      </w:r>
    </w:p>
    <w:tbl>
      <w:tblPr>
        <w:tblW w:w="5023" w:type="dxa"/>
        <w:jc w:val="left"/>
        <w:tblInd w:w="0" w:type="dxa"/>
        <w:tblLayout w:type="fixed"/>
        <w:tblCellMar>
          <w:top w:w="28" w:type="dxa"/>
          <w:left w:w="28" w:type="dxa"/>
          <w:bottom w:w="28" w:type="dxa"/>
          <w:right w:w="28" w:type="dxa"/>
        </w:tblCellMar>
      </w:tblPr>
      <w:tblGrid>
        <w:gridCol w:w="421"/>
        <w:gridCol w:w="146"/>
        <w:gridCol w:w="445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Jason Coloma</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Coloma,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maze-ex31_2.htm"/>
      <w:bookmarkStart w:id="28" w:name="ksmazeex31_2"/>
      <w:bookmarkEnd w:id="27"/>
      <w:bookmarkEnd w:id="28"/>
      <w:r>
        <w:rPr>
          <w:rFonts w:ascii="Times New Roman" w:hAnsi="Times New Roman"/>
          <w:b/>
          <w:color w:val="000000"/>
          <w:sz w:val="20"/>
        </w:rPr>
        <w:t>Exhibit 31.2</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OF PERIODIC REPORT UNDER SECTION 302 OF</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Misbah Tahir, certify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have reviewed this Quarterly Report on Form 10-Q of Maze Therapeutics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August 11, 2026</w:t>
      </w:r>
    </w:p>
    <w:tbl>
      <w:tblPr>
        <w:tblW w:w="6403" w:type="dxa"/>
        <w:jc w:val="left"/>
        <w:tblInd w:w="0" w:type="dxa"/>
        <w:tblLayout w:type="fixed"/>
        <w:tblCellMar>
          <w:top w:w="28" w:type="dxa"/>
          <w:left w:w="28" w:type="dxa"/>
          <w:bottom w:w="28" w:type="dxa"/>
          <w:right w:w="28" w:type="dxa"/>
        </w:tblCellMar>
      </w:tblPr>
      <w:tblGrid>
        <w:gridCol w:w="421"/>
        <w:gridCol w:w="146"/>
        <w:gridCol w:w="583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Misbah Tahir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Misbah Tahir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maze-ex32_1.htm"/>
      <w:bookmarkStart w:id="30" w:name="ksmazeex32_1"/>
      <w:bookmarkEnd w:id="29"/>
      <w:bookmarkEnd w:id="30"/>
      <w:r>
        <w:rPr>
          <w:rFonts w:ascii="Times New Roman" w:hAnsi="Times New Roman"/>
          <w:b/>
          <w:color w:val="000000"/>
          <w:sz w:val="20"/>
        </w:rPr>
        <w:t>Exhibit 32.1</w:t>
      </w:r>
      <w:r>
        <w:br w:type="page"/>
      </w:r>
    </w:p>
    <w:p>
      <w:pPr>
        <w:pStyle w:val="TextBody"/>
        <w:bidi w:val="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OF CHIEF EXECUTIVE OFFICER PURSUANT TO 18 U.S.C. SECTION 1350, AS ADOPTED PURSUANT TO SECTION 906 OF 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I, Jason Coloma, Ph.D., Chief Executive Officer of Maze Therapeutics Inc. (the “Company”), hereby certify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August 11, 2026</w:t>
      </w:r>
    </w:p>
    <w:tbl>
      <w:tblPr>
        <w:tblW w:w="5023" w:type="dxa"/>
        <w:jc w:val="left"/>
        <w:tblInd w:w="0" w:type="dxa"/>
        <w:tblLayout w:type="fixed"/>
        <w:tblCellMar>
          <w:top w:w="28" w:type="dxa"/>
          <w:left w:w="28" w:type="dxa"/>
          <w:bottom w:w="28" w:type="dxa"/>
          <w:right w:w="28" w:type="dxa"/>
        </w:tblCellMar>
      </w:tblPr>
      <w:tblGrid>
        <w:gridCol w:w="421"/>
        <w:gridCol w:w="146"/>
        <w:gridCol w:w="445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Jason Coloma</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Coloma,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(Principal Executive Officer)</w:t>
            </w:r>
          </w:p>
        </w:tc>
      </w:tr>
    </w:tbl>
    <w:p>
      <w:pPr>
        <w:pStyle w:val="TextBody"/>
        <w:bidi w:val="0"/>
        <w:spacing w:before="0" w:after="160"/>
        <w:jc w:val="left"/>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91" w:type="dxa"/>
            <w:tcBorders/>
            <w:tcMar>
              <w:top w:w="0" w:type="dxa"/>
              <w:left w:w="0" w:type="dxa"/>
              <w:bottom w:w="0" w:type="dxa"/>
              <w:right w:w="0" w:type="dxa"/>
            </w:tcMar>
            <w:vAlign w:val="center"/>
          </w:tcPr>
          <w:p>
            <w:pPr>
              <w:pStyle w:val="TableContents"/>
              <w:bidi w:val="0"/>
              <w:spacing w:before="0" w:after="160"/>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maze-ex32_2.htm"/>
      <w:bookmarkStart w:id="32" w:name="ksmazeex32_2"/>
      <w:bookmarkEnd w:id="31"/>
      <w:bookmarkEnd w:id="32"/>
      <w:r>
        <w:rPr>
          <w:rFonts w:ascii="Times New Roman" w:hAnsi="Times New Roman"/>
          <w:b/>
          <w:color w:val="000000"/>
          <w:sz w:val="20"/>
        </w:rPr>
        <w:t>Exhibit 32.2</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OF CHIEF FINANCIAL OFFICER PURSUANT TO 18 U.S.C. SECTION 1350, AS ADOPTED PURSUANT TO SECTION 906 OF 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I, Misbah Tahir, Chief Financial Officer of Maze Therapeutics Inc. (the “Company”), hereby certify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August 11, 2026</w:t>
      </w:r>
    </w:p>
    <w:tbl>
      <w:tblPr>
        <w:tblW w:w="6403" w:type="dxa"/>
        <w:jc w:val="left"/>
        <w:tblInd w:w="0" w:type="dxa"/>
        <w:tblLayout w:type="fixed"/>
        <w:tblCellMar>
          <w:top w:w="28" w:type="dxa"/>
          <w:left w:w="28" w:type="dxa"/>
          <w:bottom w:w="28" w:type="dxa"/>
          <w:right w:w="28" w:type="dxa"/>
        </w:tblCellMar>
      </w:tblPr>
      <w:tblGrid>
        <w:gridCol w:w="421"/>
        <w:gridCol w:w="146"/>
        <w:gridCol w:w="583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Misbah Tahir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Misbah Tahir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(Principal Financial and Accounting Officer)</w:t>
            </w:r>
          </w:p>
        </w:tc>
      </w:tr>
    </w:tbl>
    <w:p>
      <w:pPr>
        <w:pStyle w:val="TextBody"/>
        <w:bidi w:val="0"/>
        <w:spacing w:before="0" w:after="160"/>
        <w:jc w:val="left"/>
        <w:rPr/>
      </w:pPr>
      <w:r>
        <w:rPr/>
        <w:t> </w:t>
      </w:r>
    </w:p>
    <w:tbl>
      <w:tblPr>
        <w:tblW w:w="1374"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191" w:type="dxa"/>
            <w:tcBorders/>
            <w:tcMar>
              <w:top w:w="0" w:type="dxa"/>
              <w:left w:w="0" w:type="dxa"/>
              <w:bottom w:w="0" w:type="dxa"/>
              <w:right w:w="0" w:type="dxa"/>
            </w:tcMar>
            <w:vAlign w:val="center"/>
          </w:tcPr>
          <w:p>
            <w:pPr>
              <w:pStyle w:val="TableContents"/>
              <w:bidi w:val="0"/>
              <w:spacing w:before="0" w:after="160"/>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95/000119312526170701/d115741d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65815</Words>
  <Characters>367556</Characters>
  <CharactersWithSpaces>433762</CharactersWithSpaces>
  <Paragraphs>5952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