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aze-20260811.htm"/>
      <w:bookmarkStart w:id="1" w:name="ksmaze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Maze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91" w:type="dxa"/>
        <w:jc w:val="left"/>
        <w:tblInd w:w="0" w:type="dxa"/>
        <w:tblLayout w:type="fixed"/>
        <w:tblCellMar>
          <w:top w:w="28" w:type="dxa"/>
          <w:left w:w="28" w:type="dxa"/>
          <w:bottom w:w="28" w:type="dxa"/>
          <w:right w:w="28" w:type="dxa"/>
        </w:tblCellMar>
      </w:tblPr>
      <w:tblGrid>
        <w:gridCol w:w="1028"/>
        <w:gridCol w:w="938"/>
        <w:gridCol w:w="943"/>
        <w:gridCol w:w="1846"/>
        <w:gridCol w:w="1336"/>
      </w:tblGrid>
      <w:tr>
        <w:trPr/>
        <w:tc>
          <w:tcPr>
            <w:tcW w:w="102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001-42490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82-2635018</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171 Oyster Point Blvd., 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850-5070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25" w:type="dxa"/>
        <w:jc w:val="left"/>
        <w:tblInd w:w="0" w:type="dxa"/>
        <w:tblLayout w:type="fixed"/>
        <w:tblCellMar>
          <w:top w:w="28" w:type="dxa"/>
          <w:left w:w="28" w:type="dxa"/>
          <w:bottom w:w="28" w:type="dxa"/>
          <w:right w:w="28" w:type="dxa"/>
        </w:tblCellMar>
      </w:tblPr>
      <w:tblGrid>
        <w:gridCol w:w="3661"/>
        <w:gridCol w:w="146"/>
        <w:gridCol w:w="946"/>
        <w:gridCol w:w="146"/>
        <w:gridCol w:w="382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MAZE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11, 2026, Maze Therapeutics, Inc. (the “Company”) issued a press release reporting its financial results for the second quarter ended June 30, 2026. The full text of the press release is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including Exhibit 99.1, shall not be deemed “filed” for purposes of Section 18 of the Securities Exchange Act of 1934, as amended (the “Exchange Act”), or otherwise subject to the liabilities of that Section or Section 11 or 12(a)(2) of the Securities Act of 1933, as amended (the “Securities Act”), nor shall it be deemed incorporated by reference into any filing by the Company under the Exchange Act or the Securities Act, whether made before or after the date hereof, except as expressly set forth by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ze-ex99_1.htm">
              <w:r>
                <w:rPr>
                  <w:rStyle w:val="InternetLink"/>
                  <w:rFonts w:ascii="Times New Roman" w:hAnsi="Times New Roman"/>
                  <w:color w:val="0000FF"/>
                  <w:sz w:val="20"/>
                  <w:u w:val="single"/>
                </w:rPr>
                <w:t>Press Release announcing financial results, dated August 11,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556"/>
        <w:gridCol w:w="1456"/>
        <w:gridCol w:w="45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Courtney Phillips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Courtney Phillips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maze-ex99_1.htm"/>
      <w:bookmarkStart w:id="3" w:name="ksmaze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990600"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0" cy="981075"/>
                    </a:xfrm>
                    <a:prstGeom prst="rect">
                      <a:avLst/>
                    </a:prstGeom>
                  </pic:spPr>
                </pic:pic>
              </a:graphicData>
            </a:graphic>
          </wp:inline>
        </w:drawing>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2"/>
        </w:rPr>
        <w:t>Maze Therapeutics Reports Second Quarter 2026 Financial Results and Recent Highlights</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Enrollment in Phase 2 HORIZON trial of MZE829 on track; data from all cohorts expected in late 2026 or early 2027</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Phase 2 CIPheR trial of MZE782 in PKU initiated and enrollment ongoing; topline data expected in 2027</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Phase 2 trial of MZE782 in CKD on track for H1 2027 initiation</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Strong balance sheet with $495 million in cash, cash equivalents and marketable securities supports expected runway into 2029</w:t>
      </w:r>
    </w:p>
    <w:p>
      <w:pPr>
        <w:pStyle w:val="TextBody"/>
        <w:bidi w:val="0"/>
        <w:jc w:val="left"/>
        <w:rPr>
          <w:rFonts w:ascii="Times New Roman" w:hAnsi="Times New Roman"/>
          <w:sz w:val="20"/>
        </w:rPr>
      </w:pPr>
      <w:r>
        <w:rPr>
          <w:rFonts w:ascii="Times New Roman" w:hAnsi="Times New Roman"/>
          <w:b/>
          <w:color w:val="000000"/>
          <w:sz w:val="22"/>
        </w:rPr>
        <w:t xml:space="preserve">SOUTH SAN FRANCISCO, Calif., August 11, 2026 (GLOBE NEWSWIRE) </w:t>
      </w:r>
      <w:r>
        <w:rPr>
          <w:rFonts w:ascii="Times New Roman" w:hAnsi="Times New Roman"/>
          <w:color w:val="000000"/>
          <w:sz w:val="20"/>
        </w:rPr>
        <w:t xml:space="preserve">– </w:t>
      </w:r>
      <w:r>
        <w:rPr>
          <w:rFonts w:ascii="Times New Roman" w:hAnsi="Times New Roman"/>
          <w:color w:val="000000"/>
          <w:sz w:val="22"/>
        </w:rPr>
        <w:t>Maze Therapeutics, Inc. (Nasdaq: MAZE), a clinical-stage biopharmaceutical company developing small molecule precision medicines for patients with kidney and metabolic diseases, today reported financial results for the second quarter ended June 30, 2026, highlighting recent progress and business updates.</w:t>
      </w:r>
      <w:r>
        <w:rPr>
          <w:rFonts w:ascii="Times New Roman" w:hAnsi="Times New Roman"/>
          <w:color w:val="000000"/>
          <w:sz w:val="20"/>
        </w:rPr>
        <w:t xml:space="preserve"> </w:t>
      </w:r>
    </w:p>
    <w:p>
      <w:pPr>
        <w:pStyle w:val="TextBody"/>
        <w:bidi w:val="0"/>
        <w:jc w:val="left"/>
        <w:rPr/>
      </w:pPr>
      <w:r>
        <w:rPr>
          <w:color w:val="000000"/>
        </w:rPr>
        <w:t>“</w:t>
      </w:r>
      <w:r>
        <w:rPr>
          <w:rFonts w:ascii="Times New Roman" w:hAnsi="Times New Roman"/>
          <w:color w:val="000000"/>
          <w:sz w:val="22"/>
        </w:rPr>
        <w:t>The second quarter was marked by continued operational excellence by our team, with the Phase 2 CIPheR trial of MZE782 in PKU now underway with initial topline data expected in 2027, and continued strong enrollment in the Phase 2 HORIZON trial of MZE829 across three cohorts with additional data on track for 10-15 patients per cohort in late 2026 or early 2027,” said Jason Coloma, Ph.D., chief executive officer of Maze. “Looking ahead, we continue to prepare for the pivotal trial of MZE829. We are also advancing MZE782 toward a Phase 2 trial in CKD, which we expect to initiate in the first half of next year. With a strong balance sheet and expected cash runway into 2029, we are well positioned to execute against the clinical milestones in our pipeline.”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Program Progress and Anticipated Milestones</w:t>
      </w:r>
      <w:r>
        <w:rPr>
          <w:rFonts w:ascii="Times New Roman" w:hAnsi="Times New Roman"/>
          <w:color w:val="000000"/>
          <w:sz w:val="20"/>
        </w:rPr>
        <w:t xml:space="preserve"> </w:t>
      </w:r>
    </w:p>
    <w:p>
      <w:pPr>
        <w:pStyle w:val="TextBody"/>
        <w:bidi w:val="0"/>
        <w:jc w:val="left"/>
        <w:rPr>
          <w:rFonts w:ascii="Times New Roman" w:hAnsi="Times New Roman"/>
          <w:i/>
          <w:color w:val="000000"/>
          <w:sz w:val="22"/>
        </w:rPr>
      </w:pPr>
      <w:r>
        <w:rPr>
          <w:rFonts w:ascii="Times New Roman" w:hAnsi="Times New Roman"/>
          <w:i/>
          <w:color w:val="000000"/>
          <w:sz w:val="22"/>
        </w:rPr>
        <w:t>MZE829 for APOL1-Mediated Kidney Disease (AMKD)</w:t>
      </w:r>
    </w:p>
    <w:p>
      <w:pPr>
        <w:pStyle w:val="TextBody"/>
        <w:bidi w:val="0"/>
        <w:jc w:val="left"/>
        <w:rPr>
          <w:rFonts w:ascii="Times New Roman" w:hAnsi="Times New Roman"/>
          <w:color w:val="000000"/>
          <w:sz w:val="22"/>
        </w:rPr>
      </w:pPr>
      <w:r>
        <w:rPr>
          <w:rFonts w:ascii="Times New Roman" w:hAnsi="Times New Roman"/>
          <w:color w:val="000000"/>
          <w:sz w:val="22"/>
        </w:rPr>
        <w:t>MZE829 is an oral, small molecule, dual-mechanism APOL1 inhibitor that Maze is advancing as a potential treatment for patients with AMKD, a subset of chronic kidney disease (CKD) estimated to affect over one million people in the United States alone.</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2"/>
        </w:rPr>
      </w:pPr>
      <w:r>
        <w:rPr>
          <w:rFonts w:ascii="Times New Roman" w:hAnsi="Times New Roman"/>
          <w:color w:val="000000"/>
          <w:sz w:val="22"/>
        </w:rPr>
        <w:t xml:space="preserve">In March 2026, Maze announced positive topline data from the Phase 2 HORIZON trial evaluating MZE829 in patients with broad AMKD, representing the first-ever clinical proof-of-concept data in this genetically-defined, broad AMKD population, and demonstrating encouraging early data, including a clinically meaningful reduction in proteinuria in broad AMKD patients. Maze continues to enroll the HORIZON trial, and expects to announce updated data in late 2026 or early 2027 on three 10-15 patient cohorts: AMKD without diabetes, AMKD with diabetes and AMKD with severe focal segmental glomerulosclerosis (FSGS).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Based on the topline results from HORIZON, Maze plans to initiate a pivotal trial in the first half of 2027, subject to regulatory feedback.</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drawing>
          <wp:inline distT="0" distB="0" distL="0" distR="0">
            <wp:extent cx="990600" cy="981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90600" cy="9810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i/>
          <w:color w:val="000000"/>
          <w:sz w:val="22"/>
        </w:rPr>
        <w:t>MZE782 for Phenylketonuria (PKU) and CKD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MZE782 is an oral, small molecule targeting the solute transporter SLC6A19, with potential to be a best-in-class therapy for patients with PKU, an inherited metabolic disorder, and a first-in-class treatment for the estimated five million U.S. patients with CKD who inadequately respond to currently available CKD therapies.</w:t>
      </w:r>
      <w:r>
        <w:rPr>
          <w:rFonts w:ascii="Times New Roman" w:hAnsi="Times New Roman"/>
          <w:color w:val="000000"/>
          <w:sz w:val="20"/>
        </w:rPr>
        <w:t xml:space="preserve"> </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2"/>
        </w:rPr>
      </w:pPr>
      <w:r>
        <w:rPr>
          <w:rFonts w:ascii="Times New Roman" w:hAnsi="Times New Roman"/>
          <w:color w:val="000000"/>
          <w:sz w:val="22"/>
        </w:rPr>
        <w:t>In line with previous guidance, Maze initiated the Phase 2 CIPheR proof-of-concept trial of MZE782 evaluating plasma phenylalanine (Phe) reduction in PKU and continues to enroll patients. Topline data from the trial is expected in 2027.</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Maze plans to initiate a Phase 2 proof-of-concept trial of MZE782 evaluating proteinuria reduction in CKD in the first half of 2027.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Recent Corporate Highlights</w:t>
      </w:r>
      <w:r>
        <w:rPr>
          <w:rFonts w:ascii="Times New Roman" w:hAnsi="Times New Roman"/>
          <w:color w:val="000000"/>
          <w:sz w:val="20"/>
        </w:rPr>
        <w:t xml:space="preserve"> </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2"/>
        </w:rPr>
      </w:pPr>
      <w:r>
        <w:rPr>
          <w:rFonts w:ascii="Times New Roman" w:hAnsi="Times New Roman"/>
          <w:color w:val="000000"/>
          <w:sz w:val="22"/>
        </w:rPr>
        <w:t>In April 2026, Maze completed a registered offering of its common stock and pre-funded warrants for gross proceeds of approximately $150 million, before deducting underwriting discounts and commissions and other offering expenses payable by Maze.</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Second Quarter 2026 Financial Results</w:t>
      </w:r>
    </w:p>
    <w:p>
      <w:pPr>
        <w:pStyle w:val="TextBody"/>
        <w:bidi w:val="0"/>
        <w:jc w:val="left"/>
        <w:rPr>
          <w:rFonts w:ascii="Times New Roman" w:hAnsi="Times New Roman"/>
          <w:sz w:val="20"/>
        </w:rPr>
      </w:pPr>
      <w:r>
        <w:rPr>
          <w:rFonts w:ascii="Times New Roman" w:hAnsi="Times New Roman"/>
          <w:b/>
          <w:color w:val="000000"/>
          <w:sz w:val="22"/>
        </w:rPr>
        <w:t>Cash Position:</w:t>
      </w:r>
      <w:r>
        <w:rPr>
          <w:rFonts w:ascii="Times New Roman" w:hAnsi="Times New Roman"/>
          <w:color w:val="000000"/>
          <w:sz w:val="20"/>
        </w:rPr>
        <w:t xml:space="preserve"> </w:t>
      </w:r>
      <w:r>
        <w:rPr>
          <w:rFonts w:ascii="Times New Roman" w:hAnsi="Times New Roman"/>
          <w:color w:val="000000"/>
          <w:sz w:val="22"/>
        </w:rPr>
        <w:t>Cash, cash equivalents and marketable securities were $494.9 million as of June 30, 2026, compared to $360.0 million as of December 31, 2025. Maze expects that its current cash, cash equivalents and marketable securities will fund operations into 2029 based on its current business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License Revenue:</w:t>
      </w:r>
      <w:r>
        <w:rPr>
          <w:rFonts w:ascii="Times New Roman" w:hAnsi="Times New Roman"/>
          <w:color w:val="000000"/>
          <w:sz w:val="20"/>
        </w:rPr>
        <w:t xml:space="preserve"> </w:t>
      </w:r>
      <w:r>
        <w:rPr>
          <w:rFonts w:ascii="Times New Roman" w:hAnsi="Times New Roman"/>
          <w:color w:val="000000"/>
          <w:sz w:val="22"/>
        </w:rPr>
        <w:t>No license revenue and $20.0 million in license revenue was recognized for the three and six months ended June 30, 2026, respectively, and no license revenue was recognized for the same periods in 2025. License revenue recognized in 2026 reflects the achievement of a milestone in the first quarter of 2026 pursuant to the exclusive license agreement with Shionogi &amp; Co., Ltd. for the rights to MZE001, an investigational oral glycogen synthase 1 (GYS1) inhibitor that aims to address Pompe disease by limiting disease-causing glycogen buildup.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Research &amp; Development (R&amp;D) Expenses:</w:t>
      </w:r>
      <w:r>
        <w:rPr>
          <w:rFonts w:ascii="Times New Roman" w:hAnsi="Times New Roman"/>
          <w:color w:val="000000"/>
          <w:sz w:val="20"/>
        </w:rPr>
        <w:t xml:space="preserve"> </w:t>
      </w:r>
      <w:r>
        <w:rPr>
          <w:rFonts w:ascii="Times New Roman" w:hAnsi="Times New Roman"/>
          <w:color w:val="000000"/>
          <w:sz w:val="22"/>
        </w:rPr>
        <w:t>R&amp;D expenses for the three and six months ended June 30, 2026 were $34.9 million and $69.1 million, respectively, and $28.1 million and $55.7 million for the same periods in 2025. The increase primarily reflects higher expenses related to the progression of our clinical development of the MZE829 program and higher personnel-related costs, including non-cash stock-based compensation expense.</w:t>
      </w:r>
    </w:p>
    <w:p>
      <w:pPr>
        <w:pStyle w:val="TextBody"/>
        <w:bidi w:val="0"/>
        <w:jc w:val="left"/>
        <w:rPr>
          <w:rFonts w:ascii="Times New Roman" w:hAnsi="Times New Roman"/>
          <w:sz w:val="20"/>
        </w:rPr>
      </w:pPr>
      <w:r>
        <w:rPr>
          <w:rFonts w:ascii="Times New Roman" w:hAnsi="Times New Roman"/>
          <w:b/>
          <w:color w:val="000000"/>
          <w:sz w:val="22"/>
        </w:rPr>
        <w:t>General &amp; Administrative (G&amp;A) Expenses</w:t>
      </w:r>
      <w:r>
        <w:rPr>
          <w:rFonts w:ascii="Times New Roman" w:hAnsi="Times New Roman"/>
          <w:color w:val="000000"/>
          <w:sz w:val="22"/>
        </w:rPr>
        <w:t>: G&amp;A expenses for the three and six months ended June 30, 2026 were $13.1 million and $25.5 million, respectively, and $8.4 million and $16.2 million for the same periods in 2025. The increase primarily reflects higher personnel-related expenses, including non-cash stock-based compensation expense, and costs for professional services.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Net Loss:</w:t>
      </w:r>
      <w:r>
        <w:rPr>
          <w:rFonts w:ascii="Times New Roman" w:hAnsi="Times New Roman"/>
          <w:color w:val="000000"/>
          <w:sz w:val="20"/>
        </w:rPr>
        <w:t xml:space="preserve"> </w:t>
      </w:r>
      <w:r>
        <w:rPr>
          <w:rFonts w:ascii="Times New Roman" w:hAnsi="Times New Roman"/>
          <w:color w:val="000000"/>
          <w:sz w:val="22"/>
        </w:rPr>
        <w:t>Net loss for the three and six months ended June 30, 2026 was $44.7 million, or $0.76 per share, and $68.9 million, or $1.22 per share, respectively, compared to net loss of $33.7 million, or $0.77 per share, and $66.5 million, or $1.83 per share, for the same periods in 2025.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drawing>
          <wp:inline distT="0" distB="0" distL="0" distR="0">
            <wp:extent cx="990600" cy="981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90600" cy="9810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b/>
          <w:color w:val="000000"/>
          <w:sz w:val="22"/>
        </w:rPr>
        <w:t>About Maze Therapeutics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Maze Therapeutics is a clinical-stage biopharmaceutical company harnessing the power of human genetics to develop novel small molecule precision medicines for patients with kidney and metabolic diseases. Guided by its Compass platform, Maze pursues genetically validated targets by integrating variant discovery and functionalization to discover and advance small molecule programs with first- or best-in-class potential. Maze’s pipeline is led by MZE829, a dual-mechanism APOL1 inhibitor in Phase 2 development for APOL1-mediated kidney disease (AMKD), and MZE782, a SLC6A19 inhibitor in Phase 2 development with the potential to treat both phenylketonuria (PKU) and chronic kidney disease (CKD). Maze is headquartered in South San Francisco. For more information, please visit </w:t>
      </w:r>
      <w:r>
        <w:rPr>
          <w:rFonts w:ascii="Times New Roman" w:hAnsi="Times New Roman"/>
          <w:color w:val="0000FF"/>
          <w:sz w:val="22"/>
          <w:u w:val="single"/>
        </w:rPr>
        <w:t>mazetx.com</w:t>
      </w:r>
      <w:r>
        <w:rPr>
          <w:rFonts w:ascii="Times New Roman" w:hAnsi="Times New Roman"/>
          <w:color w:val="000000"/>
          <w:sz w:val="22"/>
        </w:rPr>
        <w:t xml:space="preserve">, or follow Maze on </w:t>
      </w:r>
      <w:r>
        <w:rPr>
          <w:rFonts w:ascii="Times New Roman" w:hAnsi="Times New Roman"/>
          <w:color w:val="0000FF"/>
          <w:sz w:val="22"/>
          <w:u w:val="single"/>
        </w:rPr>
        <w:t>LinkedIn</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FF"/>
          <w:sz w:val="22"/>
          <w:u w:val="single"/>
        </w:rPr>
        <w:t>X</w:t>
      </w:r>
      <w:r>
        <w:rPr>
          <w:rFonts w:ascii="Times New Roman" w:hAnsi="Times New Roman"/>
          <w:color w:val="000000"/>
          <w:sz w:val="22"/>
        </w:rPr>
        <w:t>.</w:t>
      </w:r>
    </w:p>
    <w:p>
      <w:pPr>
        <w:pStyle w:val="TextBody"/>
        <w:bidi w:val="0"/>
        <w:jc w:val="left"/>
        <w:rPr>
          <w:rFonts w:ascii="Times New Roman" w:hAnsi="Times New Roman"/>
          <w:sz w:val="20"/>
        </w:rPr>
      </w:pPr>
      <w:r>
        <w:rPr>
          <w:rFonts w:ascii="Times New Roman" w:hAnsi="Times New Roman"/>
          <w:b/>
          <w:color w:val="000000"/>
          <w:sz w:val="22"/>
        </w:rPr>
        <w:t>Forward 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This press release contains forward-looking statements within the meaning of the “safe harbor” provisions of the Private Securities Litigation Reform Act of 1995. These forward-looking statements reflect the current beliefs and expectations of management. All statements other than statements of historical fact are statements that could be deemed forward-looking statements, including, without limitation, statements concerning the company’s future plans and prospects, any expectations regarding the safety or efficacy of MZE829, MZE782 and other candidates under development, the ability of MZE829 to treat AMKD or other indications, the ability of MZE782 to treat PKU, CKD or other indications, the planned timing of the company’s clinical trials, data results and further development of MZE829, MZE782 and other therapeutic candidates, and the company’s expected cash runway. In addition, when or if used in this press release, the words “may,” “could,” “should,” “anticipate,” “believe,” “estimate,” “expect,” “intend,” “plan,” “will,” “predict”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Readers are cautioned that actual results, levels of activity, safety, performance or events and circumstances could differ materially from those expressed or implied in the company’s forward-looking statements due to a variety of factors, including risks and uncertainties related to the company’s ability to advance MZE829, MZE782 and its other therapeutic candidates, obtain regulatory approval of and ultimately commercialize the company’s therapeutic candidates, the timing and results of preclinical studies and clinical trials, the company’s ability to fund development activities and achieve development goals, its ability to protect its intellectual property, general business and economic conditions, and risks related to the impact on its business of macroeconomic conditions, including inflation, volatile interest rates, tariffs, instability in the global banking sector, and public health crises. Further information on potential risk factors that could affect the company’s business and its financial results are detailed under the heading “Risk Factors” included in the documents the company files from time to time with the U.S. Securities and Exchange Commission, including the company’s Annual Report on Form 10-K and Quarterly Reports on Form 10-Q. Accordingly, readers are cautioned not to place undue reliance on these forward-looking statements. These forward-looking statements speak only as of the date of this press release and the company undertakes no obligation to revise or update any forward-looking statements to reflect events or circumstances after the date hereof.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drawing>
          <wp:inline distT="0" distB="0" distL="0" distR="0">
            <wp:extent cx="990600" cy="981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90600" cy="981075"/>
                    </a:xfrm>
                    <a:prstGeom prst="rect">
                      <a:avLst/>
                    </a:prstGeom>
                  </pic:spPr>
                </pic:pic>
              </a:graphicData>
            </a:graphic>
          </wp:inline>
        </w:drawing>
      </w:r>
    </w:p>
    <w:p>
      <w:pPr>
        <w:pStyle w:val="TextBody"/>
        <w:bidi w:val="0"/>
        <w:jc w:val="left"/>
        <w:rPr>
          <w:rFonts w:ascii="Times New Roman" w:hAnsi="Times New Roman"/>
          <w:b/>
          <w:color w:val="000000"/>
          <w:sz w:val="22"/>
        </w:rPr>
      </w:pPr>
      <w:r>
        <w:rPr>
          <w:rFonts w:ascii="Times New Roman" w:hAnsi="Times New Roman"/>
          <w:b/>
          <w:color w:val="000000"/>
          <w:sz w:val="22"/>
        </w:rPr>
        <w:t>IR/Corporate Contact:</w:t>
      </w:r>
    </w:p>
    <w:p>
      <w:pPr>
        <w:pStyle w:val="TextBody"/>
        <w:bidi w:val="0"/>
        <w:jc w:val="left"/>
        <w:rPr>
          <w:rFonts w:ascii="Times New Roman" w:hAnsi="Times New Roman"/>
          <w:color w:val="000000"/>
          <w:sz w:val="22"/>
        </w:rPr>
      </w:pPr>
      <w:r>
        <w:rPr>
          <w:rFonts w:ascii="Times New Roman" w:hAnsi="Times New Roman"/>
          <w:color w:val="000000"/>
          <w:sz w:val="22"/>
        </w:rPr>
        <w:t>Argot Partners</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maze@argotpartners.com</w:t>
      </w:r>
    </w:p>
    <w:p>
      <w:pPr>
        <w:pStyle w:val="TextBody"/>
        <w:bidi w:val="0"/>
        <w:jc w:val="left"/>
        <w:rPr>
          <w:rFonts w:ascii="Times New Roman" w:hAnsi="Times New Roman"/>
          <w:b/>
          <w:color w:val="000000"/>
          <w:sz w:val="22"/>
        </w:rPr>
      </w:pPr>
      <w:r>
        <w:rPr>
          <w:rFonts w:ascii="Times New Roman" w:hAnsi="Times New Roman"/>
          <w:b/>
          <w:color w:val="000000"/>
          <w:sz w:val="22"/>
        </w:rPr>
        <w:t>Media Contact:</w:t>
      </w:r>
    </w:p>
    <w:p>
      <w:pPr>
        <w:pStyle w:val="TextBody"/>
        <w:bidi w:val="0"/>
        <w:jc w:val="left"/>
        <w:rPr>
          <w:rFonts w:ascii="Times New Roman" w:hAnsi="Times New Roman"/>
          <w:color w:val="000000"/>
          <w:sz w:val="22"/>
        </w:rPr>
      </w:pPr>
      <w:r>
        <w:rPr>
          <w:rFonts w:ascii="Times New Roman" w:hAnsi="Times New Roman"/>
          <w:color w:val="000000"/>
          <w:sz w:val="22"/>
        </w:rPr>
        <w:t>Amanda Lazaro, 1AB Media</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amanda@1ABMedia.com</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drawing>
          <wp:inline distT="0" distB="0" distL="0" distR="0">
            <wp:extent cx="990600" cy="981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90600" cy="981075"/>
                    </a:xfrm>
                    <a:prstGeom prst="rect">
                      <a:avLst/>
                    </a:prstGeom>
                  </pic:spPr>
                </pic:pic>
              </a:graphicData>
            </a:graphic>
          </wp:inline>
        </w:drawing>
      </w:r>
    </w:p>
    <w:p>
      <w:pPr>
        <w:pStyle w:val="TextBody"/>
        <w:bidi w:val="0"/>
        <w:jc w:val="center"/>
        <w:rPr>
          <w:rFonts w:ascii="Times New Roman" w:hAnsi="Times New Roman"/>
          <w:b/>
          <w:color w:val="000000"/>
          <w:sz w:val="22"/>
        </w:rPr>
      </w:pPr>
      <w:r>
        <w:rPr>
          <w:rFonts w:ascii="Times New Roman" w:hAnsi="Times New Roman"/>
          <w:b/>
          <w:color w:val="000000"/>
          <w:sz w:val="22"/>
        </w:rPr>
        <w:t>Maze Therapeutics, Inc.</w:t>
      </w:r>
    </w:p>
    <w:p>
      <w:pPr>
        <w:pStyle w:val="TextBody"/>
        <w:bidi w:val="0"/>
        <w:jc w:val="center"/>
        <w:rPr>
          <w:rFonts w:ascii="Times New Roman" w:hAnsi="Times New Roman"/>
          <w:b/>
          <w:color w:val="000000"/>
          <w:sz w:val="22"/>
        </w:rPr>
      </w:pPr>
      <w:r>
        <w:rPr>
          <w:rFonts w:ascii="Times New Roman" w:hAnsi="Times New Roman"/>
          <w:b/>
          <w:color w:val="000000"/>
          <w:sz w:val="22"/>
        </w:rPr>
        <w:t>Select Condensed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share and per share amounts)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0"/>
        <w:gridCol w:w="226"/>
        <w:gridCol w:w="1186"/>
        <w:gridCol w:w="181"/>
        <w:gridCol w:w="146"/>
        <w:gridCol w:w="226"/>
        <w:gridCol w:w="1186"/>
        <w:gridCol w:w="181"/>
        <w:gridCol w:w="146"/>
        <w:gridCol w:w="226"/>
        <w:gridCol w:w="1186"/>
        <w:gridCol w:w="181"/>
        <w:gridCol w:w="146"/>
        <w:gridCol w:w="226"/>
        <w:gridCol w:w="1186"/>
        <w:gridCol w:w="226"/>
      </w:tblGrid>
      <w:tr>
        <w:trPr/>
        <w:tc>
          <w:tcPr>
            <w:tcW w:w="3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97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Condensed Statements of Operations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License 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Operating expenses:</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Research and development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34,940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28,108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69,088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55,688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General and administrative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13,095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8,366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25,500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16,187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Total operating expenses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48,035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36,474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94,588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71,875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Loss from operations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(48,035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(36,474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(74,588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(71,875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income (expense):</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Interest and other income, net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Interest expense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other income, net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3,308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5,410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(44,727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(33,679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(68,935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(66,465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 per share, basic and diluted</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(0.76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(0.77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Weighted-average shares of common stock outstanding used to compute net loss per share, basic and diluted</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58,995,934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43,797,421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56,460,660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36,254,828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731" w:type="dxa"/>
        <w:jc w:val="left"/>
        <w:tblInd w:w="0" w:type="dxa"/>
        <w:tblLayout w:type="fixed"/>
        <w:tblCellMar>
          <w:top w:w="28" w:type="dxa"/>
          <w:left w:w="28" w:type="dxa"/>
          <w:bottom w:w="28" w:type="dxa"/>
          <w:right w:w="28" w:type="dxa"/>
        </w:tblCellMar>
      </w:tblPr>
      <w:tblGrid>
        <w:gridCol w:w="4681"/>
        <w:gridCol w:w="226"/>
        <w:gridCol w:w="886"/>
        <w:gridCol w:w="146"/>
        <w:gridCol w:w="146"/>
        <w:gridCol w:w="295"/>
        <w:gridCol w:w="1160"/>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4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Condensed Balance Sheet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Cash, cash equivalents and marketable securities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494,908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360,031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531,625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397,127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liabilities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78,501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stockholders’ equity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453,124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354,966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2176</Words>
  <Characters>12259</Characters>
  <CharactersWithSpaces>14502</CharactersWithSpaces>
  <Paragraphs>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